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7500CFB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D06FCC">
        <w:t>4</w:t>
      </w:r>
      <w:r w:rsidR="004745AE">
        <w:t>bis</w:t>
      </w:r>
      <w:r w:rsidR="0083546B">
        <w:t>-e</w:t>
      </w:r>
      <w:r w:rsidRPr="00CE0424">
        <w:tab/>
      </w:r>
      <w:proofErr w:type="spellStart"/>
      <w:r w:rsidRPr="006A23FD">
        <w:rPr>
          <w:sz w:val="32"/>
          <w:szCs w:val="32"/>
        </w:rPr>
        <w:t>Tdoc</w:t>
      </w:r>
      <w:proofErr w:type="spellEnd"/>
      <w:r w:rsidRPr="006A23FD">
        <w:rPr>
          <w:sz w:val="32"/>
          <w:szCs w:val="32"/>
        </w:rPr>
        <w:t xml:space="preserve"> </w:t>
      </w:r>
      <w:r w:rsidR="006A23FD" w:rsidRPr="006A23FD">
        <w:rPr>
          <w:sz w:val="32"/>
          <w:szCs w:val="32"/>
        </w:rPr>
        <w:t>R1-2102957</w:t>
      </w:r>
    </w:p>
    <w:p w14:paraId="02377110" w14:textId="3A7E1FA6" w:rsidR="00D06FCC" w:rsidRPr="00CE0424" w:rsidRDefault="00D06FCC" w:rsidP="00D06FCC">
      <w:pPr>
        <w:pStyle w:val="3GPPHeader"/>
      </w:pPr>
      <w:r>
        <w:t xml:space="preserve">Online, </w:t>
      </w:r>
      <w:r w:rsidR="00E22371" w:rsidRPr="00E22371">
        <w:t>April 12</w:t>
      </w:r>
      <w:r w:rsidR="00E22371" w:rsidRPr="00E22371">
        <w:rPr>
          <w:vertAlign w:val="superscript"/>
        </w:rPr>
        <w:t>th</w:t>
      </w:r>
      <w:r w:rsidR="00E22371" w:rsidRPr="00E22371">
        <w:t xml:space="preserve"> – 20</w:t>
      </w:r>
      <w:r w:rsidR="00E22371" w:rsidRPr="00E22371">
        <w:rPr>
          <w:vertAlign w:val="superscript"/>
        </w:rPr>
        <w:t>th</w:t>
      </w:r>
      <w:r w:rsidR="00E22371" w:rsidRPr="00E22371">
        <w:t>, 2021</w:t>
      </w:r>
    </w:p>
    <w:p w14:paraId="3086AC07" w14:textId="77777777" w:rsidR="00E90E49" w:rsidRPr="00CE0424" w:rsidRDefault="00E90E49" w:rsidP="00357380">
      <w:pPr>
        <w:pStyle w:val="3GPPHeader"/>
      </w:pPr>
    </w:p>
    <w:p w14:paraId="3982483C" w14:textId="26ACBC05" w:rsidR="00E90E49" w:rsidRPr="005F27B9" w:rsidRDefault="00E90E49" w:rsidP="00311702">
      <w:pPr>
        <w:pStyle w:val="3GPPHeader"/>
        <w:rPr>
          <w:sz w:val="22"/>
        </w:rPr>
      </w:pPr>
      <w:r w:rsidRPr="005F27B9">
        <w:rPr>
          <w:sz w:val="22"/>
        </w:rPr>
        <w:t>Agenda Item:</w:t>
      </w:r>
      <w:r w:rsidRPr="005F27B9">
        <w:rPr>
          <w:sz w:val="22"/>
        </w:rPr>
        <w:tab/>
      </w:r>
      <w:r w:rsidR="009C2001" w:rsidRPr="005F27B9">
        <w:rPr>
          <w:sz w:val="22"/>
        </w:rPr>
        <w:t>8.14.</w:t>
      </w:r>
      <w:r w:rsidR="00D06FCC">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77D6FC0"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Initial 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3F991D4E" w:rsidR="00477768" w:rsidRDefault="005F27B9" w:rsidP="00CE0424">
      <w:pPr>
        <w:pStyle w:val="BodyText"/>
      </w:pPr>
      <w:r>
        <w:t xml:space="preserve">In </w:t>
      </w:r>
      <w:r>
        <w:fldChar w:fldCharType="begin"/>
      </w:r>
      <w:r>
        <w:instrText xml:space="preserve"> REF _Ref54269807 \r \h </w:instrText>
      </w:r>
      <w:r>
        <w:fldChar w:fldCharType="separate"/>
      </w:r>
      <w:r w:rsidR="00877456">
        <w:t>[1]</w:t>
      </w:r>
      <w:r>
        <w:fldChar w:fldCharType="end"/>
      </w:r>
      <w:r>
        <w:t xml:space="preserve">, a new SI on evaluations for XR was agreed. In this contribution, we provide some initial system simulations for one particular </w:t>
      </w:r>
      <w:r w:rsidR="00804048">
        <w:t>scenario and</w:t>
      </w:r>
      <w:r>
        <w:t xml:space="preserve"> highlight the impact </w:t>
      </w:r>
      <w:r w:rsidR="00C37E77">
        <w:t xml:space="preserve">of </w:t>
      </w:r>
      <w:r>
        <w:t>some factors that affect the capacity.</w:t>
      </w:r>
    </w:p>
    <w:p w14:paraId="6054A80B" w14:textId="3404FE81" w:rsidR="00E75331" w:rsidRDefault="00E75331" w:rsidP="00E75331">
      <w:pPr>
        <w:rPr>
          <w:lang w:val="en-GB" w:eastAsia="ja-JP"/>
        </w:rPr>
      </w:pPr>
      <w:r>
        <w:rPr>
          <w:lang w:val="en-GB" w:eastAsia="ja-JP"/>
        </w:rPr>
        <w:t>During RAN1#104</w:t>
      </w:r>
      <w:r w:rsidR="000174C5">
        <w:rPr>
          <w:lang w:val="en-GB" w:eastAsia="ja-JP"/>
        </w:rPr>
        <w:t>-</w:t>
      </w:r>
      <w:r>
        <w:rPr>
          <w:lang w:val="en-GB" w:eastAsia="ja-JP"/>
        </w:rPr>
        <w:t>e, there was significant progress in defining the traffic models and evaluation methodology for XR evaluations. In this contribution, we will present initial simulation results using the agreed assumptions for the following cases:</w:t>
      </w:r>
    </w:p>
    <w:p w14:paraId="2ABF9D0B" w14:textId="77777777" w:rsidR="00E75331" w:rsidRPr="004879A2" w:rsidRDefault="00E75331" w:rsidP="00E75331">
      <w:pPr>
        <w:pStyle w:val="ListParagraph"/>
        <w:numPr>
          <w:ilvl w:val="0"/>
          <w:numId w:val="26"/>
        </w:numPr>
        <w:rPr>
          <w:rFonts w:ascii="Arial" w:hAnsi="Arial" w:cs="Arial"/>
          <w:sz w:val="20"/>
          <w:szCs w:val="20"/>
          <w:lang w:val="en-GB" w:eastAsia="ja-JP"/>
        </w:rPr>
      </w:pPr>
      <w:r w:rsidRPr="004879A2">
        <w:rPr>
          <w:rFonts w:ascii="Arial" w:hAnsi="Arial" w:cs="Arial"/>
          <w:sz w:val="20"/>
          <w:szCs w:val="20"/>
          <w:lang w:val="en-GB" w:eastAsia="ja-JP"/>
        </w:rPr>
        <w:t xml:space="preserve">DL capacity in Dense Urban Macro for cloud gaming </w:t>
      </w:r>
    </w:p>
    <w:p w14:paraId="13F869D1" w14:textId="77777777" w:rsidR="00E75331" w:rsidRPr="004879A2" w:rsidRDefault="00E75331" w:rsidP="00E75331">
      <w:pPr>
        <w:pStyle w:val="ListParagraph"/>
        <w:numPr>
          <w:ilvl w:val="0"/>
          <w:numId w:val="26"/>
        </w:numPr>
        <w:rPr>
          <w:rFonts w:ascii="Arial" w:hAnsi="Arial" w:cs="Arial"/>
          <w:sz w:val="20"/>
          <w:szCs w:val="20"/>
          <w:lang w:val="en-GB" w:eastAsia="ja-JP"/>
        </w:rPr>
      </w:pPr>
      <w:r w:rsidRPr="004879A2">
        <w:rPr>
          <w:rFonts w:ascii="Arial" w:hAnsi="Arial" w:cs="Arial"/>
          <w:sz w:val="20"/>
          <w:szCs w:val="20"/>
          <w:lang w:val="en-GB" w:eastAsia="ja-JP"/>
        </w:rPr>
        <w:t xml:space="preserve">DL capacity in Urban Macro for cloud gaming </w:t>
      </w:r>
    </w:p>
    <w:p w14:paraId="3C0040F5" w14:textId="77777777" w:rsidR="00E75331" w:rsidRPr="004879A2" w:rsidRDefault="00E75331" w:rsidP="00E75331">
      <w:pPr>
        <w:pStyle w:val="ListParagraph"/>
        <w:numPr>
          <w:ilvl w:val="0"/>
          <w:numId w:val="26"/>
        </w:numPr>
        <w:rPr>
          <w:rFonts w:ascii="Arial" w:hAnsi="Arial" w:cs="Arial"/>
          <w:sz w:val="20"/>
          <w:szCs w:val="20"/>
          <w:lang w:val="en-GB" w:eastAsia="ja-JP"/>
        </w:rPr>
      </w:pPr>
      <w:r w:rsidRPr="004879A2">
        <w:rPr>
          <w:rFonts w:ascii="Arial" w:hAnsi="Arial" w:cs="Arial"/>
          <w:sz w:val="20"/>
          <w:szCs w:val="20"/>
          <w:lang w:val="en-GB" w:eastAsia="ja-JP"/>
        </w:rPr>
        <w:t>UL capacity in Dense Urban for the pose traffic model</w:t>
      </w:r>
    </w:p>
    <w:p w14:paraId="70C8BC29" w14:textId="421AAA42" w:rsidR="00E75331" w:rsidRPr="004879A2" w:rsidRDefault="00E75331" w:rsidP="00E75331">
      <w:pPr>
        <w:pStyle w:val="ListParagraph"/>
        <w:numPr>
          <w:ilvl w:val="0"/>
          <w:numId w:val="26"/>
        </w:numPr>
        <w:rPr>
          <w:rFonts w:ascii="Arial" w:hAnsi="Arial" w:cs="Arial"/>
          <w:sz w:val="20"/>
          <w:szCs w:val="20"/>
          <w:lang w:val="en-GB" w:eastAsia="ja-JP"/>
        </w:rPr>
      </w:pPr>
      <w:r w:rsidRPr="004879A2">
        <w:rPr>
          <w:rFonts w:ascii="Arial" w:hAnsi="Arial" w:cs="Arial"/>
          <w:sz w:val="20"/>
          <w:szCs w:val="20"/>
          <w:lang w:val="en-GB" w:eastAsia="ja-JP"/>
        </w:rPr>
        <w:t>Power consumption in Dense Urban Macro</w:t>
      </w:r>
    </w:p>
    <w:p w14:paraId="14028836" w14:textId="35590BD9" w:rsidR="00D636DC" w:rsidRPr="00D636DC" w:rsidRDefault="00D636DC" w:rsidP="00D636DC">
      <w:pPr>
        <w:spacing w:before="120"/>
        <w:rPr>
          <w:rFonts w:cs="Arial"/>
          <w:szCs w:val="20"/>
          <w:lang w:val="en-GB" w:eastAsia="ja-JP"/>
        </w:rPr>
      </w:pPr>
      <w:r>
        <w:rPr>
          <w:rFonts w:cs="Arial"/>
          <w:szCs w:val="20"/>
          <w:lang w:val="en-GB" w:eastAsia="ja-JP"/>
        </w:rPr>
        <w:t xml:space="preserve">For the assumptions that are not yet agreed, we will use the assumptions in </w:t>
      </w:r>
      <w:r>
        <w:rPr>
          <w:rFonts w:cs="Arial"/>
          <w:szCs w:val="20"/>
          <w:lang w:val="en-GB" w:eastAsia="ja-JP"/>
        </w:rPr>
        <w:fldChar w:fldCharType="begin"/>
      </w:r>
      <w:r>
        <w:rPr>
          <w:rFonts w:cs="Arial"/>
          <w:szCs w:val="20"/>
          <w:lang w:val="en-GB" w:eastAsia="ja-JP"/>
        </w:rPr>
        <w:instrText xml:space="preserve"> REF _Ref68597723 \r \h </w:instrText>
      </w:r>
      <w:r>
        <w:rPr>
          <w:rFonts w:cs="Arial"/>
          <w:szCs w:val="20"/>
          <w:lang w:val="en-GB" w:eastAsia="ja-JP"/>
        </w:rPr>
      </w:r>
      <w:r>
        <w:rPr>
          <w:rFonts w:cs="Arial"/>
          <w:szCs w:val="20"/>
          <w:lang w:val="en-GB" w:eastAsia="ja-JP"/>
        </w:rPr>
        <w:fldChar w:fldCharType="separate"/>
      </w:r>
      <w:r w:rsidR="00877456">
        <w:rPr>
          <w:rFonts w:cs="Arial"/>
          <w:szCs w:val="20"/>
          <w:lang w:val="en-GB" w:eastAsia="ja-JP"/>
        </w:rPr>
        <w:t>[2]</w:t>
      </w:r>
      <w:r>
        <w:rPr>
          <w:rFonts w:cs="Arial"/>
          <w:szCs w:val="20"/>
          <w:lang w:val="en-GB" w:eastAsia="ja-JP"/>
        </w:rPr>
        <w:fldChar w:fldCharType="end"/>
      </w:r>
      <w:r>
        <w:rPr>
          <w:rFonts w:cs="Arial"/>
          <w:szCs w:val="20"/>
          <w:lang w:val="en-GB" w:eastAsia="ja-JP"/>
        </w:rPr>
        <w:fldChar w:fldCharType="begin"/>
      </w:r>
      <w:r>
        <w:rPr>
          <w:rFonts w:cs="Arial"/>
          <w:szCs w:val="20"/>
          <w:lang w:val="en-GB" w:eastAsia="ja-JP"/>
        </w:rPr>
        <w:instrText xml:space="preserve"> REF _Ref68597724 \r \h </w:instrText>
      </w:r>
      <w:r>
        <w:rPr>
          <w:rFonts w:cs="Arial"/>
          <w:szCs w:val="20"/>
          <w:lang w:val="en-GB" w:eastAsia="ja-JP"/>
        </w:rPr>
      </w:r>
      <w:r>
        <w:rPr>
          <w:rFonts w:cs="Arial"/>
          <w:szCs w:val="20"/>
          <w:lang w:val="en-GB" w:eastAsia="ja-JP"/>
        </w:rPr>
        <w:fldChar w:fldCharType="separate"/>
      </w:r>
      <w:r w:rsidR="00877456">
        <w:rPr>
          <w:rFonts w:cs="Arial"/>
          <w:szCs w:val="20"/>
          <w:lang w:val="en-GB" w:eastAsia="ja-JP"/>
        </w:rPr>
        <w:t>[3]</w:t>
      </w:r>
      <w:r>
        <w:rPr>
          <w:rFonts w:cs="Arial"/>
          <w:szCs w:val="20"/>
          <w:lang w:val="en-GB" w:eastAsia="ja-JP"/>
        </w:rPr>
        <w:fldChar w:fldCharType="end"/>
      </w:r>
      <w:r>
        <w:rPr>
          <w:rFonts w:cs="Arial"/>
          <w:szCs w:val="20"/>
          <w:lang w:val="en-GB" w:eastAsia="ja-JP"/>
        </w:rPr>
        <w:t>.</w:t>
      </w:r>
    </w:p>
    <w:p w14:paraId="60123794" w14:textId="577E6A70" w:rsidR="004000E8" w:rsidRDefault="00230D18" w:rsidP="00CE0424">
      <w:pPr>
        <w:pStyle w:val="Heading1"/>
      </w:pPr>
      <w:bookmarkStart w:id="0" w:name="_Ref178064866"/>
      <w:r>
        <w:t>2</w:t>
      </w:r>
      <w:r>
        <w:tab/>
      </w:r>
      <w:r w:rsidR="004000E8" w:rsidRPr="00CE0424">
        <w:t>Discussion</w:t>
      </w:r>
      <w:bookmarkEnd w:id="0"/>
    </w:p>
    <w:p w14:paraId="49D1FDA6" w14:textId="3F545DA7" w:rsidR="00E22371" w:rsidRDefault="00E22371" w:rsidP="00E22371">
      <w:pPr>
        <w:pStyle w:val="Heading2"/>
      </w:pPr>
      <w:r>
        <w:t>2.1</w:t>
      </w:r>
      <w:r>
        <w:tab/>
      </w:r>
      <w:r w:rsidRPr="00E22371">
        <w:t xml:space="preserve">DL capacity </w:t>
      </w:r>
      <w:r w:rsidR="00CD44DC">
        <w:t>for cloud gaming</w:t>
      </w:r>
    </w:p>
    <w:p w14:paraId="7922A74B" w14:textId="0764D3B6" w:rsidR="00557CCB" w:rsidRDefault="00210042" w:rsidP="00557CCB">
      <w:pPr>
        <w:rPr>
          <w:rFonts w:cs="Arial"/>
          <w:szCs w:val="20"/>
          <w:lang w:val="en-GB" w:eastAsia="ja-JP"/>
        </w:rPr>
      </w:pPr>
      <w:r>
        <w:rPr>
          <w:lang w:val="en-GB" w:eastAsia="ja-JP"/>
        </w:rPr>
        <w:t xml:space="preserve">For cloud gaming, RAN1 agreed to use a frame-based model, where the frame sizes followed a </w:t>
      </w:r>
      <w:r w:rsidR="00761A64">
        <w:rPr>
          <w:lang w:val="en-GB" w:eastAsia="ja-JP"/>
        </w:rPr>
        <w:t xml:space="preserve">truncated </w:t>
      </w:r>
      <w:r>
        <w:rPr>
          <w:lang w:val="en-GB" w:eastAsia="ja-JP"/>
        </w:rPr>
        <w:t>gaussian distribution.</w:t>
      </w:r>
      <w:r w:rsidR="00761A64">
        <w:rPr>
          <w:lang w:val="en-GB" w:eastAsia="ja-JP"/>
        </w:rPr>
        <w:t xml:space="preserve"> Also, there is frame level jitter, where the jitter follows a truncated gaussian distribution. </w:t>
      </w:r>
    </w:p>
    <w:p w14:paraId="1CEBB94C" w14:textId="74BCD9E4" w:rsidR="00557CCB" w:rsidRDefault="00557CCB" w:rsidP="00557CCB">
      <w:pPr>
        <w:rPr>
          <w:lang w:val="en-GB" w:eastAsia="ja-JP"/>
        </w:rPr>
      </w:pPr>
      <w:r>
        <w:rPr>
          <w:lang w:val="en-GB" w:eastAsia="ja-JP"/>
        </w:rPr>
        <w:t xml:space="preserve">For the evaluations in shown in this document, following parameters for frame size and </w:t>
      </w:r>
      <w:r w:rsidR="00D636DC">
        <w:rPr>
          <w:lang w:val="en-GB" w:eastAsia="ja-JP"/>
        </w:rPr>
        <w:t>j</w:t>
      </w:r>
      <w:r>
        <w:rPr>
          <w:lang w:val="en-GB" w:eastAsia="ja-JP"/>
        </w:rPr>
        <w:t xml:space="preserve">itter are used  </w:t>
      </w:r>
    </w:p>
    <w:p w14:paraId="6D71D013" w14:textId="619A57AE" w:rsidR="00210042" w:rsidRPr="00E75331" w:rsidRDefault="00210042" w:rsidP="00E75331">
      <w:pPr>
        <w:pStyle w:val="ListParagraph"/>
        <w:numPr>
          <w:ilvl w:val="0"/>
          <w:numId w:val="27"/>
        </w:numPr>
        <w:rPr>
          <w:rFonts w:ascii="Arial" w:hAnsi="Arial" w:cs="Arial"/>
          <w:sz w:val="20"/>
          <w:szCs w:val="20"/>
          <w:lang w:val="en-GB" w:eastAsia="ja-JP"/>
        </w:rPr>
      </w:pPr>
      <w:r w:rsidRPr="00E75331">
        <w:rPr>
          <w:rFonts w:ascii="Arial" w:hAnsi="Arial" w:cs="Arial"/>
          <w:sz w:val="20"/>
          <w:szCs w:val="20"/>
          <w:lang w:val="en-GB" w:eastAsia="ja-JP"/>
        </w:rPr>
        <w:t>Bit rate: 8Mbps</w:t>
      </w:r>
    </w:p>
    <w:p w14:paraId="34DBD736" w14:textId="2063976E" w:rsidR="00210042" w:rsidRPr="00761A64" w:rsidRDefault="00210042" w:rsidP="00210042">
      <w:pPr>
        <w:pStyle w:val="ListParagraph"/>
        <w:numPr>
          <w:ilvl w:val="0"/>
          <w:numId w:val="27"/>
        </w:numPr>
        <w:rPr>
          <w:rFonts w:ascii="Arial" w:hAnsi="Arial" w:cs="Arial"/>
          <w:sz w:val="20"/>
          <w:szCs w:val="20"/>
          <w:lang w:val="en-GB" w:eastAsia="ja-JP"/>
        </w:rPr>
      </w:pPr>
      <w:r w:rsidRPr="00761A64">
        <w:rPr>
          <w:rFonts w:ascii="Arial" w:hAnsi="Arial" w:cs="Arial"/>
          <w:sz w:val="20"/>
          <w:szCs w:val="20"/>
          <w:lang w:val="en-GB" w:eastAsia="ja-JP"/>
        </w:rPr>
        <w:t>Frame rate: 60fps</w:t>
      </w:r>
    </w:p>
    <w:p w14:paraId="27B52D94" w14:textId="5188FC51" w:rsidR="00210042" w:rsidRPr="00761A64" w:rsidRDefault="00761A64" w:rsidP="00210042">
      <w:pPr>
        <w:pStyle w:val="ListParagraph"/>
        <w:numPr>
          <w:ilvl w:val="0"/>
          <w:numId w:val="27"/>
        </w:numPr>
        <w:rPr>
          <w:rFonts w:ascii="Arial" w:hAnsi="Arial" w:cs="Arial"/>
          <w:sz w:val="20"/>
          <w:szCs w:val="20"/>
          <w:lang w:val="en-GB" w:eastAsia="ja-JP"/>
        </w:rPr>
      </w:pPr>
      <w:r w:rsidRPr="00761A64">
        <w:rPr>
          <w:rFonts w:ascii="Arial" w:hAnsi="Arial" w:cs="Arial"/>
          <w:sz w:val="20"/>
          <w:szCs w:val="20"/>
          <w:lang w:val="en-GB" w:eastAsia="ja-JP"/>
        </w:rPr>
        <w:t>F</w:t>
      </w:r>
      <w:r w:rsidR="00210042" w:rsidRPr="00761A64">
        <w:rPr>
          <w:rFonts w:ascii="Arial" w:hAnsi="Arial" w:cs="Arial"/>
          <w:sz w:val="20"/>
          <w:szCs w:val="20"/>
          <w:lang w:val="en-GB" w:eastAsia="ja-JP"/>
        </w:rPr>
        <w:t>rame size</w:t>
      </w:r>
      <w:r w:rsidRPr="00761A64">
        <w:rPr>
          <w:rFonts w:ascii="Arial" w:hAnsi="Arial" w:cs="Arial"/>
          <w:sz w:val="20"/>
          <w:szCs w:val="20"/>
          <w:lang w:val="en-GB" w:eastAsia="ja-JP"/>
        </w:rPr>
        <w:t xml:space="preserve"> distribution: </w:t>
      </w:r>
    </w:p>
    <w:p w14:paraId="0F448F43" w14:textId="5BDB1CDE" w:rsidR="00761A64" w:rsidRPr="00761A64" w:rsidRDefault="00761A64" w:rsidP="00761A64">
      <w:pPr>
        <w:pStyle w:val="ListParagraph"/>
        <w:numPr>
          <w:ilvl w:val="1"/>
          <w:numId w:val="27"/>
        </w:numPr>
        <w:rPr>
          <w:rFonts w:ascii="Arial" w:hAnsi="Arial" w:cs="Arial"/>
          <w:sz w:val="20"/>
          <w:szCs w:val="20"/>
          <w:lang w:val="en-GB" w:eastAsia="ja-JP"/>
        </w:rPr>
      </w:pPr>
      <w:r w:rsidRPr="00761A64">
        <w:rPr>
          <w:rFonts w:ascii="Arial" w:hAnsi="Arial" w:cs="Arial"/>
          <w:sz w:val="20"/>
          <w:szCs w:val="20"/>
          <w:lang w:val="en-GB" w:eastAsia="ja-JP"/>
        </w:rPr>
        <w:t>Mean: 16.7kB</w:t>
      </w:r>
    </w:p>
    <w:p w14:paraId="1AA0F634" w14:textId="0121F237" w:rsidR="00761A64" w:rsidRPr="00761A64" w:rsidRDefault="00761A64" w:rsidP="00761A64">
      <w:pPr>
        <w:pStyle w:val="ListParagraph"/>
        <w:numPr>
          <w:ilvl w:val="1"/>
          <w:numId w:val="27"/>
        </w:numPr>
        <w:rPr>
          <w:rFonts w:ascii="Arial" w:hAnsi="Arial" w:cs="Arial"/>
          <w:sz w:val="20"/>
          <w:szCs w:val="20"/>
          <w:lang w:val="en-GB" w:eastAsia="ja-JP"/>
        </w:rPr>
      </w:pPr>
      <w:r w:rsidRPr="00761A64">
        <w:rPr>
          <w:rFonts w:ascii="Arial" w:hAnsi="Arial" w:cs="Arial"/>
          <w:sz w:val="20"/>
          <w:szCs w:val="20"/>
          <w:lang w:val="en-GB" w:eastAsia="ja-JP"/>
        </w:rPr>
        <w:t>Standard deviation: 2.5kB</w:t>
      </w:r>
    </w:p>
    <w:p w14:paraId="5CD5779C" w14:textId="52FE2AEA" w:rsidR="00761A64" w:rsidRPr="00761A64" w:rsidRDefault="00761A64" w:rsidP="00761A64">
      <w:pPr>
        <w:pStyle w:val="ListParagraph"/>
        <w:numPr>
          <w:ilvl w:val="1"/>
          <w:numId w:val="27"/>
        </w:numPr>
        <w:rPr>
          <w:rFonts w:ascii="Arial" w:hAnsi="Arial" w:cs="Arial"/>
          <w:sz w:val="20"/>
          <w:szCs w:val="20"/>
          <w:lang w:val="en-GB" w:eastAsia="ja-JP"/>
        </w:rPr>
      </w:pPr>
      <w:r w:rsidRPr="00761A64">
        <w:rPr>
          <w:rFonts w:ascii="Arial" w:hAnsi="Arial" w:cs="Arial"/>
          <w:sz w:val="20"/>
          <w:szCs w:val="20"/>
          <w:lang w:val="en-GB" w:eastAsia="ja-JP"/>
        </w:rPr>
        <w:t xml:space="preserve">Max frame size: 25kB </w:t>
      </w:r>
    </w:p>
    <w:p w14:paraId="510F2C25" w14:textId="09385476" w:rsidR="00761A64" w:rsidRDefault="00761A64" w:rsidP="00761A64">
      <w:pPr>
        <w:pStyle w:val="ListParagraph"/>
        <w:numPr>
          <w:ilvl w:val="1"/>
          <w:numId w:val="27"/>
        </w:numPr>
        <w:rPr>
          <w:rFonts w:ascii="Arial" w:hAnsi="Arial" w:cs="Arial"/>
          <w:sz w:val="20"/>
          <w:szCs w:val="20"/>
          <w:lang w:val="en-GB" w:eastAsia="ja-JP"/>
        </w:rPr>
      </w:pPr>
      <w:proofErr w:type="spellStart"/>
      <w:r w:rsidRPr="00761A64">
        <w:rPr>
          <w:rFonts w:ascii="Arial" w:hAnsi="Arial" w:cs="Arial"/>
          <w:sz w:val="20"/>
          <w:szCs w:val="20"/>
          <w:lang w:val="en-GB" w:eastAsia="ja-JP"/>
        </w:rPr>
        <w:t>Min</w:t>
      </w:r>
      <w:proofErr w:type="spellEnd"/>
      <w:r w:rsidRPr="00761A64">
        <w:rPr>
          <w:rFonts w:ascii="Arial" w:hAnsi="Arial" w:cs="Arial"/>
          <w:sz w:val="20"/>
          <w:szCs w:val="20"/>
          <w:lang w:val="en-GB" w:eastAsia="ja-JP"/>
        </w:rPr>
        <w:t xml:space="preserve"> frame size: 8.33kB</w:t>
      </w:r>
    </w:p>
    <w:p w14:paraId="510CDE40" w14:textId="750B4C04" w:rsidR="00761A64" w:rsidRDefault="00761A64" w:rsidP="00761A64">
      <w:pPr>
        <w:pStyle w:val="ListParagraph"/>
        <w:numPr>
          <w:ilvl w:val="0"/>
          <w:numId w:val="27"/>
        </w:numPr>
        <w:rPr>
          <w:rFonts w:ascii="Arial" w:hAnsi="Arial" w:cs="Arial"/>
          <w:sz w:val="20"/>
          <w:szCs w:val="20"/>
          <w:lang w:val="en-GB" w:eastAsia="ja-JP"/>
        </w:rPr>
      </w:pPr>
      <w:r>
        <w:rPr>
          <w:rFonts w:ascii="Arial" w:hAnsi="Arial" w:cs="Arial"/>
          <w:sz w:val="20"/>
          <w:szCs w:val="20"/>
          <w:lang w:val="en-GB" w:eastAsia="ja-JP"/>
        </w:rPr>
        <w:t>Jitter distribution:</w:t>
      </w:r>
    </w:p>
    <w:p w14:paraId="4D702013" w14:textId="4812B133" w:rsidR="00761A64" w:rsidRDefault="00761A64" w:rsidP="00761A64">
      <w:pPr>
        <w:pStyle w:val="ListParagraph"/>
        <w:numPr>
          <w:ilvl w:val="1"/>
          <w:numId w:val="27"/>
        </w:numPr>
        <w:rPr>
          <w:rFonts w:ascii="Arial" w:hAnsi="Arial" w:cs="Arial"/>
          <w:sz w:val="20"/>
          <w:szCs w:val="20"/>
          <w:lang w:val="en-GB" w:eastAsia="ja-JP"/>
        </w:rPr>
      </w:pPr>
      <w:r>
        <w:rPr>
          <w:rFonts w:ascii="Arial" w:hAnsi="Arial" w:cs="Arial"/>
          <w:sz w:val="20"/>
          <w:szCs w:val="20"/>
          <w:lang w:val="en-GB" w:eastAsia="ja-JP"/>
        </w:rPr>
        <w:t>Mean: 0ms</w:t>
      </w:r>
    </w:p>
    <w:p w14:paraId="1024C813" w14:textId="1B6B43AA" w:rsidR="00761A64" w:rsidRDefault="00761A64" w:rsidP="00761A64">
      <w:pPr>
        <w:pStyle w:val="ListParagraph"/>
        <w:numPr>
          <w:ilvl w:val="1"/>
          <w:numId w:val="27"/>
        </w:numPr>
        <w:rPr>
          <w:rFonts w:ascii="Arial" w:hAnsi="Arial" w:cs="Arial"/>
          <w:sz w:val="20"/>
          <w:szCs w:val="20"/>
          <w:lang w:val="en-GB" w:eastAsia="ja-JP"/>
        </w:rPr>
      </w:pPr>
      <w:r>
        <w:rPr>
          <w:rFonts w:ascii="Arial" w:hAnsi="Arial" w:cs="Arial"/>
          <w:sz w:val="20"/>
          <w:szCs w:val="20"/>
          <w:lang w:val="en-GB" w:eastAsia="ja-JP"/>
        </w:rPr>
        <w:t>Standard deviation: 2ms</w:t>
      </w:r>
    </w:p>
    <w:p w14:paraId="7D0F9816" w14:textId="7654376B" w:rsidR="00761A64" w:rsidRDefault="00761A64" w:rsidP="00761A64">
      <w:pPr>
        <w:pStyle w:val="ListParagraph"/>
        <w:numPr>
          <w:ilvl w:val="1"/>
          <w:numId w:val="27"/>
        </w:numPr>
        <w:rPr>
          <w:rFonts w:ascii="Arial" w:hAnsi="Arial" w:cs="Arial"/>
          <w:sz w:val="20"/>
          <w:szCs w:val="20"/>
          <w:lang w:val="en-GB" w:eastAsia="ja-JP"/>
        </w:rPr>
      </w:pPr>
      <w:r>
        <w:rPr>
          <w:rFonts w:ascii="Arial" w:hAnsi="Arial" w:cs="Arial"/>
          <w:sz w:val="20"/>
          <w:szCs w:val="20"/>
          <w:lang w:val="en-GB" w:eastAsia="ja-JP"/>
        </w:rPr>
        <w:t>Max: 4ms</w:t>
      </w:r>
    </w:p>
    <w:p w14:paraId="17DEF47E" w14:textId="2A25EA1D" w:rsidR="00761A64" w:rsidRPr="00761A64" w:rsidRDefault="00761A64" w:rsidP="00761A64">
      <w:pPr>
        <w:pStyle w:val="ListParagraph"/>
        <w:numPr>
          <w:ilvl w:val="1"/>
          <w:numId w:val="27"/>
        </w:numPr>
        <w:rPr>
          <w:rFonts w:ascii="Arial" w:hAnsi="Arial" w:cs="Arial"/>
          <w:sz w:val="20"/>
          <w:szCs w:val="20"/>
          <w:lang w:val="en-GB" w:eastAsia="ja-JP"/>
        </w:rPr>
      </w:pPr>
      <w:r>
        <w:rPr>
          <w:rFonts w:ascii="Arial" w:hAnsi="Arial" w:cs="Arial"/>
          <w:sz w:val="20"/>
          <w:szCs w:val="20"/>
          <w:lang w:val="en-GB" w:eastAsia="ja-JP"/>
        </w:rPr>
        <w:t>Min: -4ms</w:t>
      </w:r>
    </w:p>
    <w:p w14:paraId="17FCB042" w14:textId="623F3963" w:rsidR="00E22371" w:rsidRPr="00E22371" w:rsidRDefault="00E22371" w:rsidP="00E22371">
      <w:pPr>
        <w:pStyle w:val="Heading3"/>
      </w:pPr>
      <w:r>
        <w:lastRenderedPageBreak/>
        <w:t>2.1.1</w:t>
      </w:r>
      <w:r>
        <w:tab/>
      </w:r>
      <w:r w:rsidRPr="00E22371">
        <w:t>Dense urban</w:t>
      </w:r>
    </w:p>
    <w:p w14:paraId="54029D7B" w14:textId="04361224" w:rsidR="00E22371" w:rsidRPr="00E22371" w:rsidRDefault="00761A64" w:rsidP="00E22371">
      <w:pPr>
        <w:rPr>
          <w:lang w:val="en-GB" w:eastAsia="ja-JP"/>
        </w:rPr>
      </w:pPr>
      <w:r>
        <w:rPr>
          <w:lang w:val="en-GB" w:eastAsia="ja-JP"/>
        </w:rPr>
        <w:t xml:space="preserve">We have performed system simulations for the Dense Urban scenario for the CG traffic model above. The results are </w:t>
      </w:r>
      <w:r w:rsidR="00AF6629">
        <w:rPr>
          <w:lang w:val="en-GB" w:eastAsia="ja-JP"/>
        </w:rPr>
        <w:t xml:space="preserve">shown in </w:t>
      </w:r>
      <w:r w:rsidR="00AF6629">
        <w:rPr>
          <w:lang w:val="en-GB" w:eastAsia="ja-JP"/>
        </w:rPr>
        <w:fldChar w:fldCharType="begin"/>
      </w:r>
      <w:r w:rsidR="00AF6629">
        <w:rPr>
          <w:lang w:val="en-GB" w:eastAsia="ja-JP"/>
        </w:rPr>
        <w:instrText xml:space="preserve"> REF _Ref68159687 \h </w:instrText>
      </w:r>
      <w:r w:rsidR="00AF6629">
        <w:rPr>
          <w:lang w:val="en-GB" w:eastAsia="ja-JP"/>
        </w:rPr>
      </w:r>
      <w:r w:rsidR="00AF6629">
        <w:rPr>
          <w:lang w:val="en-GB" w:eastAsia="ja-JP"/>
        </w:rPr>
        <w:fldChar w:fldCharType="separate"/>
      </w:r>
      <w:r w:rsidR="00877456">
        <w:t xml:space="preserve">Figure </w:t>
      </w:r>
      <w:r w:rsidR="00877456">
        <w:rPr>
          <w:noProof/>
        </w:rPr>
        <w:t>1</w:t>
      </w:r>
      <w:r w:rsidR="00AF6629">
        <w:rPr>
          <w:lang w:val="en-GB" w:eastAsia="ja-JP"/>
        </w:rPr>
        <w:fldChar w:fldCharType="end"/>
      </w:r>
      <w:r w:rsidR="008B2650">
        <w:rPr>
          <w:lang w:val="en-GB" w:eastAsia="ja-JP"/>
        </w:rPr>
        <w:t>, for PDB=10ms and 15ms, and for 95% and 99% satisfied users</w:t>
      </w:r>
      <w:r w:rsidR="00AB7181">
        <w:rPr>
          <w:lang w:val="en-GB" w:eastAsia="ja-JP"/>
        </w:rPr>
        <w:t>. Detailed simulation assumption can be found in the appendix.</w:t>
      </w:r>
    </w:p>
    <w:p w14:paraId="0A892F07" w14:textId="5AEA0126" w:rsidR="4C679F91" w:rsidRDefault="79F81478" w:rsidP="00AF6629">
      <w:pPr>
        <w:pStyle w:val="TH"/>
      </w:pPr>
      <w:r>
        <w:rPr>
          <w:noProof/>
        </w:rPr>
        <w:drawing>
          <wp:inline distT="0" distB="0" distL="0" distR="0" wp14:anchorId="2453DF1E" wp14:editId="0176F8C1">
            <wp:extent cx="4333461" cy="32503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1">
                      <a:extLst>
                        <a:ext uri="{28A0092B-C50C-407E-A947-70E740481C1C}">
                          <a14:useLocalDpi xmlns:a14="http://schemas.microsoft.com/office/drawing/2010/main" val="0"/>
                        </a:ext>
                      </a:extLst>
                    </a:blip>
                    <a:stretch>
                      <a:fillRect/>
                    </a:stretch>
                  </pic:blipFill>
                  <pic:spPr>
                    <a:xfrm>
                      <a:off x="0" y="0"/>
                      <a:ext cx="4333461" cy="3250355"/>
                    </a:xfrm>
                    <a:prstGeom prst="rect">
                      <a:avLst/>
                    </a:prstGeom>
                  </pic:spPr>
                </pic:pic>
              </a:graphicData>
            </a:graphic>
          </wp:inline>
        </w:drawing>
      </w:r>
    </w:p>
    <w:p w14:paraId="71843468" w14:textId="24FCE7DA" w:rsidR="00AF6629" w:rsidRDefault="00AF6629" w:rsidP="00AF6629">
      <w:pPr>
        <w:pStyle w:val="TF"/>
      </w:pPr>
      <w:bookmarkStart w:id="1" w:name="_Ref68159687"/>
      <w:r>
        <w:t xml:space="preserve">Figure </w:t>
      </w:r>
      <w:r w:rsidR="009755F1">
        <w:fldChar w:fldCharType="begin"/>
      </w:r>
      <w:r w:rsidR="009755F1">
        <w:instrText xml:space="preserve"> SEQ Figure \* ARABIC </w:instrText>
      </w:r>
      <w:r w:rsidR="009755F1">
        <w:fldChar w:fldCharType="separate"/>
      </w:r>
      <w:r w:rsidR="00877456">
        <w:rPr>
          <w:noProof/>
        </w:rPr>
        <w:t>1</w:t>
      </w:r>
      <w:r w:rsidR="009755F1">
        <w:rPr>
          <w:noProof/>
        </w:rPr>
        <w:fldChar w:fldCharType="end"/>
      </w:r>
      <w:bookmarkEnd w:id="1"/>
      <w:r>
        <w:t>: Performance for CG in Dense Urban.</w:t>
      </w:r>
    </w:p>
    <w:p w14:paraId="1E178884" w14:textId="6767C476" w:rsidR="00DD0097" w:rsidRDefault="00AF6629" w:rsidP="46081412">
      <w:r>
        <w:t xml:space="preserve">We see that </w:t>
      </w:r>
      <w:r w:rsidR="008B2650">
        <w:t xml:space="preserve">the performance clearly depends on the chosen PDB: the smaller the PDB, the smaller the capacity. </w:t>
      </w:r>
      <w:r w:rsidR="00DD0097">
        <w:t>If we define capacity as the maximum load where 90% of the users are satisfied, the capacities are around 9 and 12 users for the capacity thresholds of 99% and 95%, respectively.</w:t>
      </w:r>
    </w:p>
    <w:p w14:paraId="3D63F339" w14:textId="4CAB6DFB" w:rsidR="670838A1" w:rsidRDefault="008B2650" w:rsidP="46081412">
      <w:r>
        <w:t xml:space="preserve">To understand what limits the capacity, we investigated the resource utilization for different loads. The results are depicted in </w:t>
      </w:r>
      <w:r>
        <w:fldChar w:fldCharType="begin"/>
      </w:r>
      <w:r>
        <w:instrText xml:space="preserve"> REF _Ref68165795 \h </w:instrText>
      </w:r>
      <w:r>
        <w:fldChar w:fldCharType="separate"/>
      </w:r>
      <w:r w:rsidR="00877456">
        <w:t xml:space="preserve">Figure </w:t>
      </w:r>
      <w:r w:rsidR="00877456">
        <w:rPr>
          <w:noProof/>
        </w:rPr>
        <w:t>2</w:t>
      </w:r>
      <w:r>
        <w:fldChar w:fldCharType="end"/>
      </w:r>
      <w:r w:rsidR="00F8097D">
        <w:t>.</w:t>
      </w:r>
    </w:p>
    <w:p w14:paraId="72D060B3" w14:textId="0FE4211C" w:rsidR="670838A1" w:rsidRDefault="670838A1" w:rsidP="46081412"/>
    <w:p w14:paraId="0D063F9A" w14:textId="1EFA462D" w:rsidR="26ED0190" w:rsidRDefault="666D7401" w:rsidP="00FE3A5F">
      <w:pPr>
        <w:pStyle w:val="TF"/>
      </w:pPr>
      <w:r>
        <w:rPr>
          <w:noProof/>
        </w:rPr>
        <w:lastRenderedPageBreak/>
        <w:drawing>
          <wp:inline distT="0" distB="0" distL="0" distR="0" wp14:anchorId="7DB039AA" wp14:editId="1FE22944">
            <wp:extent cx="4314826" cy="3236119"/>
            <wp:effectExtent l="0" t="0" r="0" b="0"/>
            <wp:docPr id="568302896" name="Picture 56830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302896"/>
                    <pic:cNvPicPr/>
                  </pic:nvPicPr>
                  <pic:blipFill>
                    <a:blip r:embed="rId12">
                      <a:extLst>
                        <a:ext uri="{28A0092B-C50C-407E-A947-70E740481C1C}">
                          <a14:useLocalDpi xmlns:a14="http://schemas.microsoft.com/office/drawing/2010/main" val="0"/>
                        </a:ext>
                      </a:extLst>
                    </a:blip>
                    <a:stretch>
                      <a:fillRect/>
                    </a:stretch>
                  </pic:blipFill>
                  <pic:spPr>
                    <a:xfrm>
                      <a:off x="0" y="0"/>
                      <a:ext cx="4314826" cy="3236119"/>
                    </a:xfrm>
                    <a:prstGeom prst="rect">
                      <a:avLst/>
                    </a:prstGeom>
                  </pic:spPr>
                </pic:pic>
              </a:graphicData>
            </a:graphic>
          </wp:inline>
        </w:drawing>
      </w:r>
    </w:p>
    <w:p w14:paraId="7B0263AE" w14:textId="127D0A36" w:rsidR="008B2650" w:rsidRPr="008B2650" w:rsidRDefault="008B2650" w:rsidP="008B2650">
      <w:pPr>
        <w:pStyle w:val="TF"/>
        <w:rPr>
          <w:lang w:val="en-US"/>
        </w:rPr>
      </w:pPr>
      <w:bookmarkStart w:id="2" w:name="_Ref68165795"/>
      <w:r>
        <w:t xml:space="preserve">Figure </w:t>
      </w:r>
      <w:r w:rsidR="009755F1">
        <w:fldChar w:fldCharType="begin"/>
      </w:r>
      <w:r w:rsidR="009755F1">
        <w:instrText xml:space="preserve"> SEQ Figure \* ARABIC </w:instrText>
      </w:r>
      <w:r w:rsidR="009755F1">
        <w:fldChar w:fldCharType="separate"/>
      </w:r>
      <w:r w:rsidR="00877456">
        <w:rPr>
          <w:noProof/>
        </w:rPr>
        <w:t>2</w:t>
      </w:r>
      <w:r w:rsidR="009755F1">
        <w:rPr>
          <w:noProof/>
        </w:rPr>
        <w:fldChar w:fldCharType="end"/>
      </w:r>
      <w:bookmarkEnd w:id="2"/>
      <w:r>
        <w:t xml:space="preserve">: </w:t>
      </w:r>
      <w:r w:rsidRPr="008B2650">
        <w:rPr>
          <w:lang w:val="en-US"/>
        </w:rPr>
        <w:t>Re</w:t>
      </w:r>
      <w:r>
        <w:rPr>
          <w:lang w:val="en-US"/>
        </w:rPr>
        <w:t xml:space="preserve">source utilization for </w:t>
      </w:r>
      <w:r>
        <w:t>CG in Dense Urban.</w:t>
      </w:r>
      <w:r w:rsidRPr="008B2650">
        <w:rPr>
          <w:lang w:val="en-US"/>
        </w:rPr>
        <w:t xml:space="preserve"> </w:t>
      </w:r>
      <w:r w:rsidR="00DD0097">
        <w:rPr>
          <w:lang w:val="en-US"/>
        </w:rPr>
        <w:t>At the capacity limit</w:t>
      </w:r>
      <w:r w:rsidR="00002BF4">
        <w:rPr>
          <w:lang w:val="en-US"/>
        </w:rPr>
        <w:t>, the load is still moderate.</w:t>
      </w:r>
      <w:r w:rsidR="00DD0097">
        <w:rPr>
          <w:lang w:val="en-US"/>
        </w:rPr>
        <w:t xml:space="preserve"> </w:t>
      </w:r>
    </w:p>
    <w:p w14:paraId="66E169E1" w14:textId="5288388F" w:rsidR="670838A1" w:rsidRDefault="00F8097D" w:rsidP="670838A1">
      <w:r w:rsidRPr="00DD0097">
        <w:t xml:space="preserve">From </w:t>
      </w:r>
      <w:r w:rsidR="00DD0097">
        <w:rPr>
          <w:lang w:val="sv-SE"/>
        </w:rPr>
        <w:fldChar w:fldCharType="begin"/>
      </w:r>
      <w:r w:rsidR="00DD0097" w:rsidRPr="00DD0097">
        <w:instrText xml:space="preserve"> REF _Ref68165795 \h </w:instrText>
      </w:r>
      <w:r w:rsidR="00DD0097">
        <w:rPr>
          <w:lang w:val="sv-SE"/>
        </w:rPr>
      </w:r>
      <w:r w:rsidR="00DD0097">
        <w:rPr>
          <w:lang w:val="sv-SE"/>
        </w:rPr>
        <w:fldChar w:fldCharType="separate"/>
      </w:r>
      <w:r w:rsidR="00877456">
        <w:t xml:space="preserve">Figure </w:t>
      </w:r>
      <w:r w:rsidR="00877456">
        <w:rPr>
          <w:noProof/>
        </w:rPr>
        <w:t>2</w:t>
      </w:r>
      <w:r w:rsidR="00DD0097">
        <w:rPr>
          <w:lang w:val="sv-SE"/>
        </w:rPr>
        <w:fldChar w:fldCharType="end"/>
      </w:r>
      <w:r w:rsidR="00DD0097" w:rsidRPr="00DD0097">
        <w:t>, we can s</w:t>
      </w:r>
      <w:r w:rsidR="00DD0097">
        <w:t xml:space="preserve">ee that at the capacity limits (9 and 12 users), the average utilization is around 0.45 and 0.6 respectively. Clearly, </w:t>
      </w:r>
      <w:r w:rsidR="00002BF4">
        <w:t>already at moderate loads, it is becoming difficult to fulfill the quality</w:t>
      </w:r>
      <w:r w:rsidR="00C06C4F">
        <w:t>-</w:t>
      </w:r>
      <w:r w:rsidR="00002BF4">
        <w:t>of</w:t>
      </w:r>
      <w:r w:rsidR="00C06C4F">
        <w:t>-</w:t>
      </w:r>
      <w:r w:rsidR="00002BF4">
        <w:t>experience targets:</w:t>
      </w:r>
    </w:p>
    <w:p w14:paraId="54870108" w14:textId="697E63A7" w:rsidR="00002BF4" w:rsidRPr="00DD0097" w:rsidRDefault="00002BF4" w:rsidP="00002BF4">
      <w:pPr>
        <w:pStyle w:val="Observation"/>
      </w:pPr>
      <w:r>
        <w:t>Already at moderate loads, it becomes difficult to fulfill the quality</w:t>
      </w:r>
      <w:r w:rsidR="00C06C4F">
        <w:t>-</w:t>
      </w:r>
      <w:r>
        <w:t>of</w:t>
      </w:r>
      <w:r w:rsidR="00C06C4F">
        <w:t>-</w:t>
      </w:r>
      <w:r>
        <w:t>experience targets.</w:t>
      </w:r>
    </w:p>
    <w:p w14:paraId="52F617B5" w14:textId="78D17FA0" w:rsidR="00E60505" w:rsidRDefault="00E60505" w:rsidP="00E60505">
      <w:pPr>
        <w:pStyle w:val="BodyText"/>
      </w:pPr>
      <w:r>
        <w:t xml:space="preserve">To further investigate the load situation, we have studied the load situation for the satisfied and unsatisfied users separately. The results are depicted in </w:t>
      </w:r>
      <w:r>
        <w:fldChar w:fldCharType="begin"/>
      </w:r>
      <w:r>
        <w:instrText xml:space="preserve"> REF _Ref68596013 \h  \* MERGEFORMAT </w:instrText>
      </w:r>
      <w:r>
        <w:fldChar w:fldCharType="separate"/>
      </w:r>
      <w:r w:rsidR="00877456">
        <w:t xml:space="preserve">Figure </w:t>
      </w:r>
      <w:r w:rsidR="00877456">
        <w:rPr>
          <w:noProof/>
        </w:rPr>
        <w:t>3</w:t>
      </w:r>
      <w:r>
        <w:fldChar w:fldCharType="end"/>
      </w:r>
      <w:r>
        <w:t>.</w:t>
      </w:r>
    </w:p>
    <w:p w14:paraId="417A1AEC" w14:textId="77777777" w:rsidR="000174C5" w:rsidRDefault="000174C5" w:rsidP="000174C5">
      <w:pPr>
        <w:jc w:val="center"/>
        <w:rPr>
          <w:rFonts w:eastAsia="Calibri" w:cs="Arial"/>
        </w:rPr>
      </w:pPr>
      <w:r>
        <w:rPr>
          <w:noProof/>
        </w:rPr>
        <w:drawing>
          <wp:inline distT="0" distB="0" distL="0" distR="0" wp14:anchorId="18B8D461" wp14:editId="05B83E18">
            <wp:extent cx="4323600" cy="324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a:extLst>
                        <a:ext uri="{28A0092B-C50C-407E-A947-70E740481C1C}">
                          <a14:useLocalDpi xmlns:a14="http://schemas.microsoft.com/office/drawing/2010/main" val="0"/>
                        </a:ext>
                      </a:extLst>
                    </a:blip>
                    <a:stretch>
                      <a:fillRect/>
                    </a:stretch>
                  </pic:blipFill>
                  <pic:spPr>
                    <a:xfrm>
                      <a:off x="0" y="0"/>
                      <a:ext cx="4323600" cy="3240000"/>
                    </a:xfrm>
                    <a:prstGeom prst="rect">
                      <a:avLst/>
                    </a:prstGeom>
                  </pic:spPr>
                </pic:pic>
              </a:graphicData>
            </a:graphic>
          </wp:inline>
        </w:drawing>
      </w:r>
    </w:p>
    <w:p w14:paraId="0467AF32" w14:textId="39148E37" w:rsidR="000174C5" w:rsidRPr="008B2650" w:rsidRDefault="000174C5" w:rsidP="000174C5">
      <w:pPr>
        <w:pStyle w:val="TF"/>
        <w:rPr>
          <w:lang w:val="en-US"/>
        </w:rPr>
      </w:pPr>
      <w:bookmarkStart w:id="3" w:name="_Ref68596013"/>
      <w:r>
        <w:t xml:space="preserve">Figure </w:t>
      </w:r>
      <w:r>
        <w:fldChar w:fldCharType="begin"/>
      </w:r>
      <w:r>
        <w:instrText xml:space="preserve"> SEQ Figure \* ARABIC </w:instrText>
      </w:r>
      <w:r>
        <w:fldChar w:fldCharType="separate"/>
      </w:r>
      <w:r w:rsidR="00877456">
        <w:rPr>
          <w:noProof/>
        </w:rPr>
        <w:t>3</w:t>
      </w:r>
      <w:r>
        <w:rPr>
          <w:noProof/>
        </w:rPr>
        <w:fldChar w:fldCharType="end"/>
      </w:r>
      <w:bookmarkEnd w:id="3"/>
      <w:r>
        <w:t xml:space="preserve">: </w:t>
      </w:r>
      <w:r w:rsidRPr="008B2650">
        <w:rPr>
          <w:lang w:val="en-US"/>
        </w:rPr>
        <w:t>Re</w:t>
      </w:r>
      <w:r>
        <w:rPr>
          <w:lang w:val="en-US"/>
        </w:rPr>
        <w:t>source utilization in the cells where satisfied and unsatisfied users.</w:t>
      </w:r>
    </w:p>
    <w:p w14:paraId="4C9BAB4E" w14:textId="13E5F173" w:rsidR="00E60505" w:rsidRPr="00E60505" w:rsidRDefault="00E60505" w:rsidP="00E60505">
      <w:pPr>
        <w:rPr>
          <w:rFonts w:eastAsia="Calibri" w:cs="Arial"/>
        </w:rPr>
      </w:pPr>
      <w:r>
        <w:rPr>
          <w:rFonts w:eastAsia="Calibri" w:cs="Arial"/>
        </w:rPr>
        <w:t xml:space="preserve">From </w:t>
      </w:r>
      <w:r>
        <w:rPr>
          <w:rFonts w:eastAsia="Calibri" w:cs="Arial"/>
        </w:rPr>
        <w:fldChar w:fldCharType="begin"/>
      </w:r>
      <w:r>
        <w:rPr>
          <w:rFonts w:eastAsia="Calibri" w:cs="Arial"/>
        </w:rPr>
        <w:instrText xml:space="preserve"> REF _Ref68596013 \h </w:instrText>
      </w:r>
      <w:r>
        <w:rPr>
          <w:rFonts w:eastAsia="Calibri" w:cs="Arial"/>
        </w:rPr>
      </w:r>
      <w:r>
        <w:rPr>
          <w:rFonts w:eastAsia="Calibri" w:cs="Arial"/>
        </w:rPr>
        <w:fldChar w:fldCharType="separate"/>
      </w:r>
      <w:r w:rsidR="00877456">
        <w:t xml:space="preserve">Figure </w:t>
      </w:r>
      <w:r w:rsidR="00877456">
        <w:rPr>
          <w:noProof/>
        </w:rPr>
        <w:t>3</w:t>
      </w:r>
      <w:r>
        <w:rPr>
          <w:rFonts w:eastAsia="Calibri" w:cs="Arial"/>
        </w:rPr>
        <w:fldChar w:fldCharType="end"/>
      </w:r>
      <w:r>
        <w:rPr>
          <w:rFonts w:eastAsia="Calibri" w:cs="Arial"/>
        </w:rPr>
        <w:t xml:space="preserve">, it is clear that users that are unsatisfied are to a large extent residing in cells that are highly loaded: less than 20% of the slots are empty. This should not be surprising but emphasizes that CG services </w:t>
      </w:r>
      <w:r>
        <w:rPr>
          <w:rFonts w:eastAsia="Calibri" w:cs="Arial"/>
        </w:rPr>
        <w:lastRenderedPageBreak/>
        <w:t xml:space="preserve">are high-rate services that require a lot of bandwidth. In cells that are full, it becomes difficult to fulfill the quality-of-experience requirements. </w:t>
      </w:r>
    </w:p>
    <w:p w14:paraId="2BB6558E" w14:textId="42112722" w:rsidR="670838A1" w:rsidRDefault="00002BF4" w:rsidP="670838A1">
      <w:pPr>
        <w:rPr>
          <w:rFonts w:eastAsia="Calibri" w:cs="Arial"/>
        </w:rPr>
      </w:pPr>
      <w:r>
        <w:rPr>
          <w:rFonts w:eastAsia="Calibri" w:cs="Arial"/>
        </w:rPr>
        <w:t>Another interesting point of view is to look at the HARQ statistics. If the link adaptation becomes inaccurate, the number of HARQ retransmission will increase, and with many HARQ retransmissions, it becomes difficult to transmit the entire transport block within the PDB.</w:t>
      </w:r>
    </w:p>
    <w:p w14:paraId="27171E9E" w14:textId="5C023CD5" w:rsidR="00002BF4" w:rsidRDefault="00002BF4" w:rsidP="670838A1">
      <w:pPr>
        <w:rPr>
          <w:rFonts w:eastAsia="Calibri" w:cs="Arial"/>
        </w:rPr>
      </w:pPr>
      <w:r>
        <w:rPr>
          <w:rFonts w:eastAsia="Calibri" w:cs="Arial"/>
        </w:rPr>
        <w:t xml:space="preserve">To investigate this, we plotted a normalized histogram over the </w:t>
      </w:r>
      <w:r w:rsidR="006F22F7">
        <w:rPr>
          <w:rFonts w:eastAsia="Calibri" w:cs="Arial"/>
        </w:rPr>
        <w:t xml:space="preserve">HARQ transmissions, for the satisfied users and for the unsatisfied users separately. The results are depicted in </w:t>
      </w:r>
      <w:r w:rsidR="006F22F7">
        <w:rPr>
          <w:rFonts w:eastAsia="Calibri" w:cs="Arial"/>
        </w:rPr>
        <w:fldChar w:fldCharType="begin"/>
      </w:r>
      <w:r w:rsidR="006F22F7">
        <w:rPr>
          <w:rFonts w:eastAsia="Calibri" w:cs="Arial"/>
        </w:rPr>
        <w:instrText xml:space="preserve"> REF _Ref68168845 \h </w:instrText>
      </w:r>
      <w:r w:rsidR="006F22F7">
        <w:rPr>
          <w:rFonts w:eastAsia="Calibri" w:cs="Arial"/>
        </w:rPr>
      </w:r>
      <w:r w:rsidR="006F22F7">
        <w:rPr>
          <w:rFonts w:eastAsia="Calibri" w:cs="Arial"/>
        </w:rPr>
        <w:fldChar w:fldCharType="separate"/>
      </w:r>
      <w:r w:rsidR="00877456">
        <w:t xml:space="preserve">Figure </w:t>
      </w:r>
      <w:r w:rsidR="00877456">
        <w:rPr>
          <w:noProof/>
        </w:rPr>
        <w:t>4</w:t>
      </w:r>
      <w:r w:rsidR="006F22F7">
        <w:rPr>
          <w:rFonts w:eastAsia="Calibri" w:cs="Arial"/>
        </w:rPr>
        <w:fldChar w:fldCharType="end"/>
      </w:r>
      <w:r w:rsidR="006F22F7">
        <w:rPr>
          <w:rFonts w:eastAsia="Calibri" w:cs="Arial"/>
        </w:rPr>
        <w:t>.</w:t>
      </w:r>
    </w:p>
    <w:p w14:paraId="2E6C1848" w14:textId="3749C559" w:rsidR="009C3F17" w:rsidRDefault="3C6A7B21" w:rsidP="00FE3A5F">
      <w:pPr>
        <w:pStyle w:val="TH"/>
        <w:rPr>
          <w:rFonts w:eastAsia="Calibri" w:cs="Arial"/>
        </w:rPr>
      </w:pPr>
      <w:r>
        <w:rPr>
          <w:noProof/>
        </w:rPr>
        <w:drawing>
          <wp:inline distT="0" distB="0" distL="0" distR="0" wp14:anchorId="2424B2A3" wp14:editId="0A7F0B16">
            <wp:extent cx="4320000" cy="3240000"/>
            <wp:effectExtent l="0" t="0" r="4445" b="0"/>
            <wp:docPr id="2057190480" name="Picture 2057190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190480"/>
                    <pic:cNvPicPr/>
                  </pic:nvPicPr>
                  <pic:blipFill>
                    <a:blip r:embed="rId14">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4919299A" w14:textId="343CED26" w:rsidR="00002BF4" w:rsidRPr="008B2650" w:rsidRDefault="00002BF4" w:rsidP="00002BF4">
      <w:pPr>
        <w:pStyle w:val="TF"/>
        <w:rPr>
          <w:lang w:val="en-US"/>
        </w:rPr>
      </w:pPr>
      <w:bookmarkStart w:id="4" w:name="_Ref68168845"/>
      <w:r>
        <w:t xml:space="preserve">Figure </w:t>
      </w:r>
      <w:r w:rsidR="009755F1">
        <w:fldChar w:fldCharType="begin"/>
      </w:r>
      <w:r w:rsidR="009755F1">
        <w:instrText xml:space="preserve"> SEQ Figure \* ARABIC </w:instrText>
      </w:r>
      <w:r w:rsidR="009755F1">
        <w:fldChar w:fldCharType="separate"/>
      </w:r>
      <w:r w:rsidR="00877456">
        <w:rPr>
          <w:noProof/>
        </w:rPr>
        <w:t>4</w:t>
      </w:r>
      <w:r w:rsidR="009755F1">
        <w:rPr>
          <w:noProof/>
        </w:rPr>
        <w:fldChar w:fldCharType="end"/>
      </w:r>
      <w:bookmarkEnd w:id="4"/>
      <w:r>
        <w:t xml:space="preserve">: </w:t>
      </w:r>
      <w:r w:rsidRPr="00002BF4">
        <w:rPr>
          <w:lang w:val="en-US"/>
        </w:rPr>
        <w:t>HA</w:t>
      </w:r>
      <w:r>
        <w:rPr>
          <w:lang w:val="en-US"/>
        </w:rPr>
        <w:t xml:space="preserve">RQ statistics for </w:t>
      </w:r>
      <w:r w:rsidR="006F22F7">
        <w:rPr>
          <w:lang w:val="en-US"/>
        </w:rPr>
        <w:t xml:space="preserve">satisfied and </w:t>
      </w:r>
      <w:r>
        <w:rPr>
          <w:lang w:val="en-US"/>
        </w:rPr>
        <w:t xml:space="preserve">unsatisfied users. </w:t>
      </w:r>
    </w:p>
    <w:p w14:paraId="1638E7B9" w14:textId="133BB15A" w:rsidR="6C540126" w:rsidRDefault="006F22F7" w:rsidP="24FE3C66">
      <w:r>
        <w:t xml:space="preserve">From </w:t>
      </w:r>
      <w:r>
        <w:fldChar w:fldCharType="begin"/>
      </w:r>
      <w:r>
        <w:instrText xml:space="preserve"> REF _Ref68168845 \h </w:instrText>
      </w:r>
      <w:r>
        <w:fldChar w:fldCharType="separate"/>
      </w:r>
      <w:r w:rsidR="00877456">
        <w:t xml:space="preserve">Figure </w:t>
      </w:r>
      <w:r w:rsidR="00877456">
        <w:rPr>
          <w:noProof/>
        </w:rPr>
        <w:t>4</w:t>
      </w:r>
      <w:r>
        <w:fldChar w:fldCharType="end"/>
      </w:r>
      <w:r>
        <w:t xml:space="preserve">, we can see there </w:t>
      </w:r>
      <w:r w:rsidR="00FE3A5F">
        <w:t>is a difference between satisfied and unsatisfied users: the unsatisfied users suffer from a tail of large number of HARQ transmissions. For MBB users, such a tail is not problematic: as long as the transport block is delivered</w:t>
      </w:r>
      <w:r w:rsidR="00283672">
        <w:t xml:space="preserve">, the quality of experience is not impacted. For CG, the situation may be different, and reducing this tail </w:t>
      </w:r>
      <w:r w:rsidR="0094407C">
        <w:t xml:space="preserve">of the distributions </w:t>
      </w:r>
      <w:r w:rsidR="00283672">
        <w:t>of HARQ retransmissions would be beneficial:</w:t>
      </w:r>
    </w:p>
    <w:p w14:paraId="17AF774C" w14:textId="37F78285" w:rsidR="00283672" w:rsidRDefault="0094407C" w:rsidP="0094407C">
      <w:pPr>
        <w:pStyle w:val="Observation"/>
      </w:pPr>
      <w:r>
        <w:t>Reducing the tail of the distribution of the HARQ retransmission may be beneficial to improve performance.</w:t>
      </w:r>
    </w:p>
    <w:p w14:paraId="2D570022" w14:textId="27BA3C6C" w:rsidR="0094407C" w:rsidRDefault="0094407C" w:rsidP="0094407C">
      <w:pPr>
        <w:pStyle w:val="BodyText"/>
      </w:pPr>
      <w:r>
        <w:t>Notice that we do not want to simply decrease the HARQ BLER target, since that will reduce the capacity.</w:t>
      </w:r>
    </w:p>
    <w:p w14:paraId="036058CB" w14:textId="54798DBB" w:rsidR="00E22371" w:rsidRDefault="00E22371" w:rsidP="00E22371">
      <w:pPr>
        <w:pStyle w:val="Heading3"/>
      </w:pPr>
      <w:r>
        <w:t>2.1.2</w:t>
      </w:r>
      <w:r>
        <w:tab/>
      </w:r>
      <w:r w:rsidRPr="00E22371">
        <w:t>Urban macro</w:t>
      </w:r>
    </w:p>
    <w:p w14:paraId="563F2B81" w14:textId="42BDC84F" w:rsidR="008B2FE1" w:rsidRPr="008B2FE1" w:rsidRDefault="008B2FE1" w:rsidP="008B2FE1">
      <w:pPr>
        <w:rPr>
          <w:lang w:val="en-GB" w:eastAsia="ja-JP"/>
        </w:rPr>
      </w:pPr>
      <w:r>
        <w:rPr>
          <w:lang w:val="en-GB" w:eastAsia="ja-JP"/>
        </w:rPr>
        <w:t xml:space="preserve">To investigate performance in a more coverage-limited scenario, we have </w:t>
      </w:r>
      <w:r w:rsidR="00F6506E">
        <w:rPr>
          <w:lang w:val="en-GB" w:eastAsia="ja-JP"/>
        </w:rPr>
        <w:t xml:space="preserve">repeated the simulations also for the Urban Macro scenario. The results are shown in </w:t>
      </w:r>
      <w:r w:rsidR="00F6506E">
        <w:rPr>
          <w:lang w:val="en-GB" w:eastAsia="ja-JP"/>
        </w:rPr>
        <w:fldChar w:fldCharType="begin"/>
      </w:r>
      <w:r w:rsidR="00F6506E">
        <w:rPr>
          <w:lang w:val="en-GB" w:eastAsia="ja-JP"/>
        </w:rPr>
        <w:instrText xml:space="preserve"> REF _Ref68170632 \h </w:instrText>
      </w:r>
      <w:r w:rsidR="00F6506E">
        <w:rPr>
          <w:lang w:val="en-GB" w:eastAsia="ja-JP"/>
        </w:rPr>
      </w:r>
      <w:r w:rsidR="00F6506E">
        <w:rPr>
          <w:lang w:val="en-GB" w:eastAsia="ja-JP"/>
        </w:rPr>
        <w:fldChar w:fldCharType="separate"/>
      </w:r>
      <w:r w:rsidR="00877456">
        <w:t xml:space="preserve">Figure </w:t>
      </w:r>
      <w:r w:rsidR="00877456">
        <w:rPr>
          <w:noProof/>
        </w:rPr>
        <w:t>5</w:t>
      </w:r>
      <w:r w:rsidR="00F6506E">
        <w:rPr>
          <w:lang w:val="en-GB" w:eastAsia="ja-JP"/>
        </w:rPr>
        <w:fldChar w:fldCharType="end"/>
      </w:r>
      <w:r w:rsidR="00F6506E">
        <w:rPr>
          <w:lang w:val="en-GB" w:eastAsia="ja-JP"/>
        </w:rPr>
        <w:t>, for PDB=10ms and 15ms, and for 95% and 99% satisfied users. Apart from the change of the scenario, the simulation conditions are the same.</w:t>
      </w:r>
    </w:p>
    <w:p w14:paraId="5DA56C1D" w14:textId="29B89293" w:rsidR="58933539" w:rsidRDefault="00FB0840" w:rsidP="00F6506E">
      <w:pPr>
        <w:pStyle w:val="TH"/>
      </w:pPr>
      <w:r w:rsidRPr="00FB0840">
        <w:rPr>
          <w:noProof/>
        </w:rPr>
        <w:lastRenderedPageBreak/>
        <w:drawing>
          <wp:inline distT="0" distB="0" distL="0" distR="0" wp14:anchorId="7155DA4F" wp14:editId="0040BB8C">
            <wp:extent cx="4319370" cy="323618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0262" cy="3251834"/>
                    </a:xfrm>
                    <a:prstGeom prst="rect">
                      <a:avLst/>
                    </a:prstGeom>
                    <a:noFill/>
                    <a:ln>
                      <a:noFill/>
                    </a:ln>
                  </pic:spPr>
                </pic:pic>
              </a:graphicData>
            </a:graphic>
          </wp:inline>
        </w:drawing>
      </w:r>
    </w:p>
    <w:p w14:paraId="0436EA9C" w14:textId="5BBF2C3E" w:rsidR="008B2650" w:rsidRPr="008B2650" w:rsidRDefault="008B2650" w:rsidP="008B2650">
      <w:pPr>
        <w:pStyle w:val="TF"/>
        <w:rPr>
          <w:lang w:val="en-US"/>
        </w:rPr>
      </w:pPr>
      <w:bookmarkStart w:id="5" w:name="_Ref68170632"/>
      <w:r>
        <w:t xml:space="preserve">Figure </w:t>
      </w:r>
      <w:r w:rsidR="009755F1">
        <w:fldChar w:fldCharType="begin"/>
      </w:r>
      <w:r w:rsidR="009755F1">
        <w:instrText xml:space="preserve"> SEQ Figure \* ARABIC </w:instrText>
      </w:r>
      <w:r w:rsidR="009755F1">
        <w:fldChar w:fldCharType="separate"/>
      </w:r>
      <w:r w:rsidR="00877456">
        <w:rPr>
          <w:noProof/>
        </w:rPr>
        <w:t>5</w:t>
      </w:r>
      <w:r w:rsidR="009755F1">
        <w:rPr>
          <w:noProof/>
        </w:rPr>
        <w:fldChar w:fldCharType="end"/>
      </w:r>
      <w:bookmarkEnd w:id="5"/>
      <w:r>
        <w:t xml:space="preserve">: </w:t>
      </w:r>
      <w:r w:rsidR="00F6506E">
        <w:t>Performance for CG in Urban</w:t>
      </w:r>
      <w:r w:rsidR="00F6506E" w:rsidRPr="00F6506E">
        <w:rPr>
          <w:lang w:val="en-US"/>
        </w:rPr>
        <w:t xml:space="preserve"> M</w:t>
      </w:r>
      <w:r w:rsidR="00F6506E">
        <w:rPr>
          <w:lang w:val="en-US"/>
        </w:rPr>
        <w:t>acro</w:t>
      </w:r>
      <w:r w:rsidR="00F6506E">
        <w:t>.</w:t>
      </w:r>
    </w:p>
    <w:p w14:paraId="5B5EDABB" w14:textId="09E2A0A8" w:rsidR="2B85A4C6" w:rsidRDefault="00F6506E" w:rsidP="2A098C65">
      <w:r>
        <w:t xml:space="preserve">Due to the increase ISD, the coverage is worse than for the Dense Urban scenario. </w:t>
      </w:r>
      <w:r w:rsidR="367965FA">
        <w:t xml:space="preserve">Since the achievable bit rates are lower, </w:t>
      </w:r>
      <w:r w:rsidR="4F2A40DF">
        <w:t xml:space="preserve">so is the capacity. However, the difference is not dramatic: the capacities </w:t>
      </w:r>
      <w:r w:rsidR="3C8B08CA">
        <w:t>for 15ms PDB are 7 and 9 users per cell, for 99% and 95% quality thresholds.</w:t>
      </w:r>
      <w:r w:rsidR="003332DC">
        <w:t xml:space="preserve"> This illustrates that the potential for wide area XR deployment is good.</w:t>
      </w:r>
    </w:p>
    <w:p w14:paraId="524C9C7A" w14:textId="27C0DA0C" w:rsidR="00E22371" w:rsidRPr="00E22371" w:rsidRDefault="00E22371" w:rsidP="00E22371">
      <w:pPr>
        <w:pStyle w:val="Heading2"/>
      </w:pPr>
      <w:r>
        <w:t>2.2</w:t>
      </w:r>
      <w:r>
        <w:tab/>
      </w:r>
      <w:r w:rsidRPr="00E22371">
        <w:t xml:space="preserve">Performance </w:t>
      </w:r>
      <w:r w:rsidR="00FB324B">
        <w:t>for</w:t>
      </w:r>
      <w:r w:rsidRPr="00E22371">
        <w:t xml:space="preserve"> pose traffic model</w:t>
      </w:r>
    </w:p>
    <w:p w14:paraId="19A9B439" w14:textId="3EA47BE5" w:rsidR="003332DC" w:rsidRPr="00761A64" w:rsidRDefault="008E02BB" w:rsidP="003332DC">
      <w:pPr>
        <w:rPr>
          <w:rFonts w:cs="Arial"/>
          <w:szCs w:val="20"/>
          <w:lang w:val="en-GB" w:eastAsia="ja-JP"/>
        </w:rPr>
      </w:pPr>
      <w:r>
        <w:rPr>
          <w:lang w:val="en-GB" w:eastAsia="ja-JP"/>
        </w:rPr>
        <w:t>During RAN1#104</w:t>
      </w:r>
      <w:r w:rsidR="000174C5">
        <w:rPr>
          <w:lang w:val="en-GB" w:eastAsia="ja-JP"/>
        </w:rPr>
        <w:t>-</w:t>
      </w:r>
      <w:r>
        <w:rPr>
          <w:lang w:val="en-GB" w:eastAsia="ja-JP"/>
        </w:rPr>
        <w:t>e, the pose traffic model was also discussed. This traffic mode</w:t>
      </w:r>
      <w:r w:rsidR="003332DC">
        <w:rPr>
          <w:lang w:val="en-GB" w:eastAsia="ja-JP"/>
        </w:rPr>
        <w:t>l</w:t>
      </w:r>
      <w:r>
        <w:rPr>
          <w:lang w:val="en-GB" w:eastAsia="ja-JP"/>
        </w:rPr>
        <w:t xml:space="preserve"> is meant to represent</w:t>
      </w:r>
      <w:r w:rsidR="003332DC">
        <w:rPr>
          <w:lang w:val="en-GB" w:eastAsia="ja-JP"/>
        </w:rPr>
        <w:t xml:space="preserve"> the traffic that is sent from an XR device to describe the movement of, e.g., an HMD, so that a game server can change the view displayed on the device. The traffic characterized by small but frequent packets transmitted in UL, each with a fixed size. The parameters of the used </w:t>
      </w:r>
      <w:r w:rsidR="00F54F4C">
        <w:rPr>
          <w:lang w:val="en-GB" w:eastAsia="ja-JP"/>
        </w:rPr>
        <w:t xml:space="preserve">traffic model are </w:t>
      </w:r>
    </w:p>
    <w:p w14:paraId="1E73BF8F" w14:textId="2A26D463" w:rsidR="003332DC" w:rsidRPr="00761A64" w:rsidRDefault="00F54F4C" w:rsidP="003332DC">
      <w:pPr>
        <w:pStyle w:val="ListParagraph"/>
        <w:numPr>
          <w:ilvl w:val="0"/>
          <w:numId w:val="27"/>
        </w:numPr>
        <w:rPr>
          <w:rFonts w:ascii="Arial" w:hAnsi="Arial" w:cs="Arial"/>
          <w:sz w:val="20"/>
          <w:szCs w:val="20"/>
          <w:lang w:val="en-GB" w:eastAsia="ja-JP"/>
        </w:rPr>
      </w:pPr>
      <w:r>
        <w:rPr>
          <w:rFonts w:ascii="Arial" w:hAnsi="Arial" w:cs="Arial"/>
          <w:sz w:val="20"/>
          <w:szCs w:val="20"/>
          <w:lang w:val="en-GB" w:eastAsia="ja-JP"/>
        </w:rPr>
        <w:t>Packet interval</w:t>
      </w:r>
      <w:r w:rsidR="003332DC" w:rsidRPr="00761A64">
        <w:rPr>
          <w:rFonts w:ascii="Arial" w:hAnsi="Arial" w:cs="Arial"/>
          <w:sz w:val="20"/>
          <w:szCs w:val="20"/>
          <w:lang w:val="en-GB" w:eastAsia="ja-JP"/>
        </w:rPr>
        <w:t xml:space="preserve">: </w:t>
      </w:r>
      <w:r>
        <w:rPr>
          <w:rFonts w:ascii="Arial" w:hAnsi="Arial" w:cs="Arial"/>
          <w:sz w:val="20"/>
          <w:szCs w:val="20"/>
          <w:lang w:val="en-GB" w:eastAsia="ja-JP"/>
        </w:rPr>
        <w:t>4ms</w:t>
      </w:r>
    </w:p>
    <w:p w14:paraId="601BE6E2" w14:textId="705BDEC8" w:rsidR="00E22371" w:rsidRPr="002F62B8" w:rsidRDefault="00F54F4C" w:rsidP="008B0997">
      <w:pPr>
        <w:pStyle w:val="ListParagraph"/>
        <w:numPr>
          <w:ilvl w:val="0"/>
          <w:numId w:val="27"/>
        </w:numPr>
        <w:spacing w:after="120"/>
        <w:ind w:left="714" w:hanging="357"/>
        <w:rPr>
          <w:lang w:val="en-GB" w:eastAsia="ja-JP"/>
        </w:rPr>
      </w:pPr>
      <w:r>
        <w:rPr>
          <w:rFonts w:ascii="Arial" w:hAnsi="Arial" w:cs="Arial"/>
          <w:sz w:val="20"/>
          <w:szCs w:val="20"/>
          <w:lang w:val="en-GB" w:eastAsia="ja-JP"/>
        </w:rPr>
        <w:t xml:space="preserve">Packets size: 100 bytes </w:t>
      </w:r>
    </w:p>
    <w:p w14:paraId="0F7EA05C" w14:textId="28DC2670" w:rsidR="002F62B8" w:rsidRPr="002F62B8" w:rsidRDefault="002F62B8" w:rsidP="008B0997">
      <w:pPr>
        <w:pStyle w:val="BodyText"/>
        <w:rPr>
          <w:lang w:val="en-GB"/>
        </w:rPr>
      </w:pPr>
      <w:r>
        <w:rPr>
          <w:lang w:val="en-GB"/>
        </w:rPr>
        <w:t>T</w:t>
      </w:r>
      <w:r w:rsidR="008B0997">
        <w:rPr>
          <w:lang w:val="en-GB"/>
        </w:rPr>
        <w:t xml:space="preserve">o illustrate the coverage difference, we have also included a case with only outdoor UEs. The results are shown in </w:t>
      </w:r>
      <w:r w:rsidR="008B0997">
        <w:rPr>
          <w:lang w:val="en-GB"/>
        </w:rPr>
        <w:fldChar w:fldCharType="begin"/>
      </w:r>
      <w:r w:rsidR="008B0997">
        <w:rPr>
          <w:lang w:val="en-GB"/>
        </w:rPr>
        <w:instrText xml:space="preserve"> REF _Ref68175147 \h </w:instrText>
      </w:r>
      <w:r w:rsidR="008B0997">
        <w:rPr>
          <w:lang w:val="en-GB"/>
        </w:rPr>
      </w:r>
      <w:r w:rsidR="008B0997">
        <w:rPr>
          <w:lang w:val="en-GB"/>
        </w:rPr>
        <w:fldChar w:fldCharType="separate"/>
      </w:r>
      <w:r w:rsidR="00877456">
        <w:t xml:space="preserve">Figure </w:t>
      </w:r>
      <w:r w:rsidR="00877456">
        <w:rPr>
          <w:noProof/>
        </w:rPr>
        <w:t>6</w:t>
      </w:r>
      <w:r w:rsidR="008B0997">
        <w:rPr>
          <w:lang w:val="en-GB"/>
        </w:rPr>
        <w:fldChar w:fldCharType="end"/>
      </w:r>
      <w:r w:rsidR="008B0997">
        <w:rPr>
          <w:lang w:val="en-GB"/>
        </w:rPr>
        <w:t>.</w:t>
      </w:r>
    </w:p>
    <w:p w14:paraId="297561E4" w14:textId="7AA01019" w:rsidR="00E22371" w:rsidRDefault="007D0F9E" w:rsidP="00E22371">
      <w:pPr>
        <w:rPr>
          <w:lang w:eastAsia="ja-JP"/>
        </w:rPr>
      </w:pPr>
      <w:r>
        <w:rPr>
          <w:lang w:eastAsia="ja-JP"/>
        </w:rPr>
        <w:t xml:space="preserve">  </w:t>
      </w:r>
    </w:p>
    <w:p w14:paraId="2747E07D" w14:textId="08097393" w:rsidR="000D6EB1" w:rsidRDefault="4EBE4767" w:rsidP="00D538AE">
      <w:pPr>
        <w:keepNext/>
        <w:jc w:val="center"/>
        <w:rPr>
          <w:lang w:eastAsia="ja-JP"/>
        </w:rPr>
      </w:pPr>
      <w:r>
        <w:rPr>
          <w:noProof/>
        </w:rPr>
        <w:lastRenderedPageBreak/>
        <w:drawing>
          <wp:inline distT="0" distB="0" distL="0" distR="0" wp14:anchorId="662352F6" wp14:editId="02F0AD0D">
            <wp:extent cx="4381500" cy="3200400"/>
            <wp:effectExtent l="0" t="0" r="0" b="0"/>
            <wp:docPr id="55751661" name="Picture 5575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381500" cy="3200400"/>
                    </a:xfrm>
                    <a:prstGeom prst="rect">
                      <a:avLst/>
                    </a:prstGeom>
                  </pic:spPr>
                </pic:pic>
              </a:graphicData>
            </a:graphic>
          </wp:inline>
        </w:drawing>
      </w:r>
    </w:p>
    <w:p w14:paraId="1861D78F" w14:textId="3A24D29C" w:rsidR="00F8097D" w:rsidRPr="008B2650" w:rsidRDefault="00F8097D" w:rsidP="00F8097D">
      <w:pPr>
        <w:pStyle w:val="TF"/>
        <w:rPr>
          <w:lang w:val="en-US"/>
        </w:rPr>
      </w:pPr>
      <w:bookmarkStart w:id="6" w:name="_Ref68175147"/>
      <w:r>
        <w:t xml:space="preserve">Figure </w:t>
      </w:r>
      <w:r w:rsidR="009755F1">
        <w:fldChar w:fldCharType="begin"/>
      </w:r>
      <w:r w:rsidR="009755F1">
        <w:instrText xml:space="preserve"> SEQ Figure \* ARABIC </w:instrText>
      </w:r>
      <w:r w:rsidR="009755F1">
        <w:fldChar w:fldCharType="separate"/>
      </w:r>
      <w:r w:rsidR="00877456">
        <w:rPr>
          <w:noProof/>
        </w:rPr>
        <w:t>6</w:t>
      </w:r>
      <w:r w:rsidR="009755F1">
        <w:rPr>
          <w:noProof/>
        </w:rPr>
        <w:fldChar w:fldCharType="end"/>
      </w:r>
      <w:bookmarkEnd w:id="6"/>
      <w:r>
        <w:t xml:space="preserve">: </w:t>
      </w:r>
      <w:r w:rsidR="00F54F4C">
        <w:rPr>
          <w:lang w:val="en-US"/>
        </w:rPr>
        <w:t>Performance for the pose traffic model.</w:t>
      </w:r>
    </w:p>
    <w:p w14:paraId="2137E906" w14:textId="1C29DE37" w:rsidR="00751BFE" w:rsidRDefault="008B0997" w:rsidP="00E22371">
      <w:pPr>
        <w:rPr>
          <w:lang w:val="en-GB"/>
        </w:rPr>
      </w:pPr>
      <w:r>
        <w:t xml:space="preserve">From </w:t>
      </w:r>
      <w:r>
        <w:rPr>
          <w:lang w:val="en-GB"/>
        </w:rPr>
        <w:fldChar w:fldCharType="begin"/>
      </w:r>
      <w:r>
        <w:rPr>
          <w:lang w:val="en-GB"/>
        </w:rPr>
        <w:instrText xml:space="preserve"> REF _Ref68175147 \h </w:instrText>
      </w:r>
      <w:r>
        <w:rPr>
          <w:lang w:val="en-GB"/>
        </w:rPr>
      </w:r>
      <w:r>
        <w:rPr>
          <w:lang w:val="en-GB"/>
        </w:rPr>
        <w:fldChar w:fldCharType="separate"/>
      </w:r>
      <w:r w:rsidR="00877456">
        <w:t xml:space="preserve">Figure </w:t>
      </w:r>
      <w:r w:rsidR="00877456">
        <w:rPr>
          <w:noProof/>
        </w:rPr>
        <w:t>6</w:t>
      </w:r>
      <w:r>
        <w:rPr>
          <w:lang w:val="en-GB"/>
        </w:rPr>
        <w:fldChar w:fldCharType="end"/>
      </w:r>
      <w:r>
        <w:rPr>
          <w:lang w:val="en-GB"/>
        </w:rPr>
        <w:t xml:space="preserve">, it is clear that the load has only a small impact on the performance on the quality-of-experience: the number of satisfied users is more or less independent of the load. On the other hand, </w:t>
      </w:r>
      <w:r w:rsidR="008E3B8C">
        <w:rPr>
          <w:lang w:val="en-GB"/>
        </w:rPr>
        <w:t>there is a problem with coverage: some 20% of the users are unsatisfied, even at low load. This is clear when we compare the performance for only outdoor UEs: here more than 95% of the UEs are satisfied, irrespective of the load.</w:t>
      </w:r>
      <w:r w:rsidR="00D538AE">
        <w:rPr>
          <w:lang w:val="en-GB"/>
        </w:rPr>
        <w:t xml:space="preserve"> If the packet delay budget is increased, more UEs become satisfied.</w:t>
      </w:r>
    </w:p>
    <w:p w14:paraId="75F83A6A" w14:textId="4731E2A6" w:rsidR="00CB0BC0" w:rsidRDefault="00BE3082" w:rsidP="00E22371">
      <w:pPr>
        <w:rPr>
          <w:lang w:val="en-GB"/>
        </w:rPr>
      </w:pPr>
      <w:r>
        <w:rPr>
          <w:lang w:val="en-GB"/>
        </w:rPr>
        <w:t>Note that we have run the UL pose traffic with dynamic scheduling: there is thus an inherent delay delivery of the packets: SR-&gt;BS</w:t>
      </w:r>
      <w:r w:rsidR="00490DA4">
        <w:rPr>
          <w:lang w:val="en-GB"/>
        </w:rPr>
        <w:t>R</w:t>
      </w:r>
      <w:r>
        <w:rPr>
          <w:lang w:val="en-GB"/>
        </w:rPr>
        <w:t>-&gt;UL data. Although configured grant may sound like a perfect use case for the pose traffic, dynamic scheduling may be the only realistic option for applications that are deployed at a wide scale.</w:t>
      </w:r>
    </w:p>
    <w:p w14:paraId="17392FFD" w14:textId="0ED8C51E" w:rsidR="00E22371" w:rsidRPr="00E22371" w:rsidRDefault="00E22371" w:rsidP="00E22371">
      <w:pPr>
        <w:pStyle w:val="Heading2"/>
      </w:pPr>
      <w:r>
        <w:t>2.3</w:t>
      </w:r>
      <w:r>
        <w:tab/>
      </w:r>
      <w:r w:rsidRPr="00E22371">
        <w:t>Power consumption</w:t>
      </w:r>
    </w:p>
    <w:p w14:paraId="30285744" w14:textId="2876AC74" w:rsidR="00490DA4" w:rsidRPr="008C7EC8" w:rsidRDefault="00490DA4" w:rsidP="00490DA4">
      <w:pPr>
        <w:rPr>
          <w:rFonts w:cs="Arial"/>
          <w:szCs w:val="20"/>
          <w:lang w:val="en-GB" w:eastAsia="ja-JP"/>
        </w:rPr>
      </w:pPr>
      <w:r w:rsidRPr="008C7EC8">
        <w:rPr>
          <w:rFonts w:cs="Arial"/>
          <w:szCs w:val="20"/>
          <w:lang w:val="en-GB" w:eastAsia="ja-JP"/>
        </w:rPr>
        <w:t xml:space="preserve">In this section we present initial results evaluating impact of UE power consumption reduction techniques on XR capacity. Results are shown </w:t>
      </w:r>
      <w:r w:rsidR="00026923">
        <w:rPr>
          <w:rFonts w:cs="Arial"/>
          <w:szCs w:val="20"/>
          <w:lang w:val="en-GB" w:eastAsia="ja-JP"/>
        </w:rPr>
        <w:t>for</w:t>
      </w:r>
      <w:r>
        <w:rPr>
          <w:rFonts w:cs="Arial"/>
          <w:szCs w:val="20"/>
          <w:lang w:val="en-GB" w:eastAsia="ja-JP"/>
        </w:rPr>
        <w:t xml:space="preserve"> Dense Urban Macro deployment</w:t>
      </w:r>
      <w:r w:rsidR="000174C5">
        <w:rPr>
          <w:rFonts w:cs="Arial"/>
          <w:szCs w:val="20"/>
          <w:lang w:val="en-GB" w:eastAsia="ja-JP"/>
        </w:rPr>
        <w:t>.</w:t>
      </w:r>
    </w:p>
    <w:p w14:paraId="16A896A2" w14:textId="32D174B2" w:rsidR="00490DA4" w:rsidRPr="008C7EC8" w:rsidRDefault="000174C5" w:rsidP="00490DA4">
      <w:pPr>
        <w:rPr>
          <w:rFonts w:cs="Arial"/>
          <w:szCs w:val="20"/>
          <w:lang w:val="en-GB" w:eastAsia="ja-JP"/>
        </w:rPr>
      </w:pPr>
      <w:r>
        <w:rPr>
          <w:rFonts w:cs="Arial"/>
          <w:szCs w:val="20"/>
          <w:lang w:val="en-GB" w:eastAsia="ja-JP"/>
        </w:rPr>
        <w:t>The f</w:t>
      </w:r>
      <w:r w:rsidR="00490DA4" w:rsidRPr="008C7EC8">
        <w:rPr>
          <w:rFonts w:cs="Arial"/>
          <w:szCs w:val="20"/>
          <w:lang w:val="en-GB" w:eastAsia="ja-JP"/>
        </w:rPr>
        <w:t>ollowing scenarios are evaluated</w:t>
      </w:r>
      <w:r>
        <w:rPr>
          <w:rFonts w:cs="Arial"/>
          <w:szCs w:val="20"/>
          <w:lang w:val="en-GB" w:eastAsia="ja-JP"/>
        </w:rPr>
        <w:t>:</w:t>
      </w:r>
    </w:p>
    <w:p w14:paraId="5CA790E7" w14:textId="77777777" w:rsidR="00490DA4" w:rsidRDefault="00490DA4" w:rsidP="00490DA4">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 xml:space="preserve">Traffic models </w:t>
      </w:r>
    </w:p>
    <w:p w14:paraId="236ED5C5" w14:textId="77777777" w:rsidR="00490DA4" w:rsidRDefault="00490DA4" w:rsidP="00490DA4">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 xml:space="preserve">DL only -- </w:t>
      </w:r>
      <w:r w:rsidRPr="00173F02">
        <w:rPr>
          <w:rFonts w:ascii="Arial" w:hAnsi="Arial" w:cs="Arial"/>
          <w:sz w:val="20"/>
          <w:szCs w:val="20"/>
          <w:lang w:val="en-GB" w:eastAsia="ja-JP"/>
        </w:rPr>
        <w:t xml:space="preserve">XR CG traffic with 8Mbps average data rate,15ms PDB </w:t>
      </w:r>
    </w:p>
    <w:p w14:paraId="6E0BB6F6" w14:textId="77777777" w:rsidR="00490DA4" w:rsidRDefault="00490DA4" w:rsidP="00490DA4">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 xml:space="preserve">DL+UL – XR CG </w:t>
      </w:r>
      <w:r w:rsidRPr="00173F02">
        <w:rPr>
          <w:rFonts w:ascii="Arial" w:hAnsi="Arial" w:cs="Arial"/>
          <w:sz w:val="20"/>
          <w:szCs w:val="20"/>
          <w:lang w:val="en-GB" w:eastAsia="ja-JP"/>
        </w:rPr>
        <w:t>traffic with 8Mbps average data rate</w:t>
      </w:r>
      <w:r>
        <w:rPr>
          <w:rFonts w:ascii="Arial" w:hAnsi="Arial" w:cs="Arial"/>
          <w:sz w:val="20"/>
          <w:szCs w:val="20"/>
          <w:lang w:val="en-GB" w:eastAsia="ja-JP"/>
        </w:rPr>
        <w:t xml:space="preserve"> + UL pose information (4ms periodicity and 100bytes payload)</w:t>
      </w:r>
    </w:p>
    <w:p w14:paraId="5276F7BF" w14:textId="77777777" w:rsidR="00490DA4" w:rsidRPr="00711A6F" w:rsidRDefault="00490DA4" w:rsidP="00490DA4">
      <w:pPr>
        <w:pStyle w:val="ListParagraph"/>
        <w:numPr>
          <w:ilvl w:val="0"/>
          <w:numId w:val="29"/>
        </w:numPr>
        <w:rPr>
          <w:rFonts w:ascii="Arial" w:hAnsi="Arial" w:cs="Arial"/>
          <w:sz w:val="20"/>
          <w:szCs w:val="20"/>
          <w:lang w:val="en-GB" w:eastAsia="ja-JP"/>
        </w:rPr>
      </w:pPr>
      <w:r w:rsidRPr="00711A6F">
        <w:rPr>
          <w:rFonts w:ascii="Arial" w:hAnsi="Arial" w:cs="Arial"/>
          <w:sz w:val="20"/>
          <w:szCs w:val="20"/>
          <w:lang w:val="en-GB" w:eastAsia="ja-JP"/>
        </w:rPr>
        <w:t xml:space="preserve">DRX configured with below settings </w:t>
      </w:r>
    </w:p>
    <w:p w14:paraId="390B484F" w14:textId="77777777" w:rsidR="00490DA4" w:rsidRPr="00711A6F" w:rsidRDefault="00490DA4" w:rsidP="00490DA4">
      <w:pPr>
        <w:pStyle w:val="ListParagraph"/>
        <w:numPr>
          <w:ilvl w:val="1"/>
          <w:numId w:val="29"/>
        </w:numPr>
        <w:rPr>
          <w:rFonts w:ascii="Arial" w:hAnsi="Arial" w:cs="Arial"/>
          <w:sz w:val="20"/>
          <w:szCs w:val="20"/>
          <w:lang w:val="en-GB" w:eastAsia="ja-JP"/>
        </w:rPr>
      </w:pPr>
      <w:r w:rsidRPr="00711A6F">
        <w:rPr>
          <w:rFonts w:ascii="Arial" w:hAnsi="Arial" w:cs="Arial"/>
          <w:sz w:val="20"/>
          <w:szCs w:val="20"/>
          <w:lang w:val="en-GB" w:eastAsia="ja-JP"/>
        </w:rPr>
        <w:t>Baseline case with no DRX is configured</w:t>
      </w:r>
    </w:p>
    <w:p w14:paraId="00E1C416" w14:textId="77777777" w:rsidR="00490DA4" w:rsidRPr="00711A6F" w:rsidRDefault="00490DA4" w:rsidP="00490DA4">
      <w:pPr>
        <w:pStyle w:val="ListParagraph"/>
        <w:numPr>
          <w:ilvl w:val="2"/>
          <w:numId w:val="29"/>
        </w:numPr>
        <w:rPr>
          <w:rFonts w:ascii="Arial" w:hAnsi="Arial" w:cs="Arial"/>
          <w:sz w:val="20"/>
          <w:szCs w:val="20"/>
          <w:lang w:val="en-GB" w:eastAsia="ja-JP"/>
        </w:rPr>
      </w:pPr>
      <w:r w:rsidRPr="00711A6F">
        <w:rPr>
          <w:rFonts w:ascii="Arial" w:hAnsi="Arial" w:cs="Arial"/>
          <w:sz w:val="20"/>
          <w:szCs w:val="20"/>
          <w:lang w:val="en-GB" w:eastAsia="ja-JP"/>
        </w:rPr>
        <w:t>labelled as ‘data-8-drx-0</w:t>
      </w:r>
      <w:r>
        <w:rPr>
          <w:rFonts w:ascii="Arial" w:hAnsi="Arial" w:cs="Arial"/>
          <w:sz w:val="20"/>
          <w:szCs w:val="20"/>
          <w:lang w:val="en-GB" w:eastAsia="ja-JP"/>
        </w:rPr>
        <w:t>’</w:t>
      </w:r>
      <w:r w:rsidRPr="00711A6F">
        <w:rPr>
          <w:rFonts w:ascii="Arial" w:hAnsi="Arial" w:cs="Arial"/>
          <w:sz w:val="20"/>
          <w:szCs w:val="20"/>
          <w:lang w:val="en-GB" w:eastAsia="ja-JP"/>
        </w:rPr>
        <w:t xml:space="preserve"> in the figures</w:t>
      </w:r>
    </w:p>
    <w:p w14:paraId="702C3B1C" w14:textId="77777777" w:rsidR="00490DA4" w:rsidRPr="00711A6F" w:rsidRDefault="00490DA4" w:rsidP="00490DA4">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 xml:space="preserve">DRX with different settings </w:t>
      </w:r>
      <w:r w:rsidRPr="00711A6F">
        <w:rPr>
          <w:rFonts w:ascii="Arial" w:hAnsi="Arial" w:cs="Arial"/>
          <w:sz w:val="20"/>
          <w:szCs w:val="20"/>
          <w:lang w:val="en-GB" w:eastAsia="ja-JP"/>
        </w:rPr>
        <w:t xml:space="preserve">labelled as ‘data-8-drx-p-On-q-iat-r’ in the figures with below settings for </w:t>
      </w:r>
      <w:proofErr w:type="spellStart"/>
      <w:r w:rsidRPr="00711A6F">
        <w:rPr>
          <w:rFonts w:ascii="Arial" w:hAnsi="Arial" w:cs="Arial"/>
          <w:sz w:val="20"/>
          <w:szCs w:val="20"/>
          <w:lang w:val="en-GB" w:eastAsia="ja-JP"/>
        </w:rPr>
        <w:t>p,q,r</w:t>
      </w:r>
      <w:proofErr w:type="spellEnd"/>
    </w:p>
    <w:p w14:paraId="6BE48713" w14:textId="77777777" w:rsidR="00490DA4" w:rsidRPr="00711A6F" w:rsidRDefault="00490DA4" w:rsidP="00490DA4">
      <w:pPr>
        <w:pStyle w:val="ListParagraph"/>
        <w:numPr>
          <w:ilvl w:val="2"/>
          <w:numId w:val="29"/>
        </w:numPr>
        <w:rPr>
          <w:rFonts w:ascii="Arial" w:hAnsi="Arial" w:cs="Arial"/>
          <w:sz w:val="20"/>
          <w:szCs w:val="20"/>
          <w:lang w:val="en-GB" w:eastAsia="ja-JP"/>
        </w:rPr>
      </w:pPr>
      <w:r w:rsidRPr="00711A6F">
        <w:rPr>
          <w:rFonts w:ascii="Arial" w:hAnsi="Arial" w:cs="Arial"/>
          <w:sz w:val="20"/>
          <w:szCs w:val="20"/>
          <w:lang w:val="en-GB" w:eastAsia="ja-JP"/>
        </w:rPr>
        <w:t>DRX Cycle p = 10ms; On duration timer q = 3ms; IAT r = 1ms</w:t>
      </w:r>
    </w:p>
    <w:p w14:paraId="391ECA7B" w14:textId="77777777" w:rsidR="00490DA4" w:rsidRPr="00711A6F" w:rsidRDefault="00490DA4" w:rsidP="00490DA4">
      <w:pPr>
        <w:pStyle w:val="ListParagraph"/>
        <w:numPr>
          <w:ilvl w:val="2"/>
          <w:numId w:val="29"/>
        </w:numPr>
        <w:rPr>
          <w:rFonts w:ascii="Arial" w:hAnsi="Arial" w:cs="Arial"/>
          <w:sz w:val="20"/>
          <w:szCs w:val="20"/>
          <w:lang w:val="en-GB" w:eastAsia="ja-JP"/>
        </w:rPr>
      </w:pPr>
      <w:r w:rsidRPr="00711A6F">
        <w:rPr>
          <w:rFonts w:ascii="Arial" w:hAnsi="Arial" w:cs="Arial"/>
          <w:sz w:val="20"/>
          <w:szCs w:val="20"/>
          <w:lang w:val="en-GB" w:eastAsia="ja-JP"/>
        </w:rPr>
        <w:t>DRX Cycle p = 10ms; On duration timer q = 5ms; IAT r = 1ms</w:t>
      </w:r>
    </w:p>
    <w:p w14:paraId="6D4A9DC8" w14:textId="77777777" w:rsidR="00490DA4" w:rsidRPr="00711A6F" w:rsidRDefault="00490DA4" w:rsidP="00490DA4">
      <w:pPr>
        <w:pStyle w:val="ListParagraph"/>
        <w:numPr>
          <w:ilvl w:val="2"/>
          <w:numId w:val="29"/>
        </w:numPr>
        <w:rPr>
          <w:rFonts w:ascii="Arial" w:hAnsi="Arial" w:cs="Arial"/>
          <w:sz w:val="20"/>
          <w:szCs w:val="20"/>
          <w:lang w:val="en-GB" w:eastAsia="ja-JP"/>
        </w:rPr>
      </w:pPr>
      <w:r w:rsidRPr="00711A6F">
        <w:rPr>
          <w:rFonts w:ascii="Arial" w:hAnsi="Arial" w:cs="Arial"/>
          <w:sz w:val="20"/>
          <w:szCs w:val="20"/>
          <w:lang w:val="en-GB" w:eastAsia="ja-JP"/>
        </w:rPr>
        <w:t>DRX Cycle p = 10ms; On duration timer q = 5ms; IAT r = 5ms</w:t>
      </w:r>
    </w:p>
    <w:p w14:paraId="6293FE56" w14:textId="77777777" w:rsidR="00490DA4" w:rsidRPr="00711A6F" w:rsidRDefault="00490DA4" w:rsidP="00490DA4">
      <w:pPr>
        <w:pStyle w:val="ListParagraph"/>
        <w:numPr>
          <w:ilvl w:val="2"/>
          <w:numId w:val="29"/>
        </w:numPr>
        <w:rPr>
          <w:rFonts w:ascii="Arial" w:hAnsi="Arial" w:cs="Arial"/>
          <w:sz w:val="20"/>
          <w:szCs w:val="20"/>
          <w:lang w:val="en-GB" w:eastAsia="ja-JP"/>
        </w:rPr>
      </w:pPr>
      <w:r w:rsidRPr="00711A6F">
        <w:rPr>
          <w:rFonts w:ascii="Arial" w:hAnsi="Arial" w:cs="Arial"/>
          <w:sz w:val="20"/>
          <w:szCs w:val="20"/>
          <w:lang w:val="en-GB" w:eastAsia="ja-JP"/>
        </w:rPr>
        <w:t>DRX Cycle p = 10ms; On duration timer q = 8ms; IAT r = 1ms</w:t>
      </w:r>
    </w:p>
    <w:p w14:paraId="62910CAC" w14:textId="77777777" w:rsidR="00490DA4" w:rsidRPr="00711A6F" w:rsidRDefault="00490DA4" w:rsidP="00490DA4">
      <w:pPr>
        <w:pStyle w:val="ListParagraph"/>
        <w:numPr>
          <w:ilvl w:val="0"/>
          <w:numId w:val="29"/>
        </w:numPr>
        <w:rPr>
          <w:rFonts w:ascii="Arial" w:hAnsi="Arial" w:cs="Arial"/>
          <w:sz w:val="20"/>
          <w:szCs w:val="20"/>
          <w:lang w:val="en-GB" w:eastAsia="ja-JP"/>
        </w:rPr>
      </w:pPr>
      <w:r w:rsidRPr="00711A6F">
        <w:rPr>
          <w:rFonts w:ascii="Arial" w:hAnsi="Arial" w:cs="Arial"/>
          <w:sz w:val="20"/>
          <w:szCs w:val="20"/>
          <w:lang w:val="en-GB" w:eastAsia="ja-JP"/>
        </w:rPr>
        <w:t xml:space="preserve">Power consumption is also shown for ‘genie’ case </w:t>
      </w:r>
    </w:p>
    <w:p w14:paraId="719FFDBF" w14:textId="77777777" w:rsidR="00490DA4" w:rsidRPr="00711A6F" w:rsidRDefault="00490DA4" w:rsidP="00490DA4">
      <w:pPr>
        <w:pStyle w:val="ListParagraph"/>
        <w:numPr>
          <w:ilvl w:val="1"/>
          <w:numId w:val="29"/>
        </w:numPr>
        <w:rPr>
          <w:rFonts w:ascii="Arial" w:hAnsi="Arial" w:cs="Arial"/>
          <w:sz w:val="20"/>
          <w:szCs w:val="20"/>
          <w:lang w:val="en-GB" w:eastAsia="ja-JP"/>
        </w:rPr>
      </w:pPr>
      <w:r w:rsidRPr="00711A6F">
        <w:rPr>
          <w:rFonts w:ascii="Arial" w:hAnsi="Arial" w:cs="Arial"/>
          <w:sz w:val="20"/>
          <w:szCs w:val="20"/>
          <w:lang w:val="en-GB" w:eastAsia="ja-JP"/>
        </w:rPr>
        <w:t>Labelled as ‘genie’ in the figures.</w:t>
      </w:r>
    </w:p>
    <w:p w14:paraId="39E1CD0A" w14:textId="7201920C" w:rsidR="00490DA4" w:rsidRPr="000174C5" w:rsidRDefault="00490DA4" w:rsidP="00490DA4">
      <w:pPr>
        <w:pStyle w:val="ListParagraph"/>
        <w:numPr>
          <w:ilvl w:val="1"/>
          <w:numId w:val="29"/>
        </w:numPr>
        <w:rPr>
          <w:rFonts w:ascii="Arial" w:hAnsi="Arial" w:cs="Arial"/>
          <w:sz w:val="20"/>
          <w:szCs w:val="20"/>
          <w:lang w:val="en-GB" w:eastAsia="ja-JP"/>
        </w:rPr>
      </w:pPr>
      <w:r w:rsidRPr="00711A6F">
        <w:rPr>
          <w:rFonts w:ascii="Arial" w:hAnsi="Arial" w:cs="Arial"/>
          <w:sz w:val="20"/>
          <w:szCs w:val="20"/>
          <w:lang w:val="en-GB" w:eastAsia="ja-JP"/>
        </w:rPr>
        <w:lastRenderedPageBreak/>
        <w:t xml:space="preserve">For this case it is assumed that </w:t>
      </w:r>
      <w:r w:rsidRPr="00711A6F">
        <w:rPr>
          <w:rFonts w:ascii="Arial" w:hAnsi="Arial" w:cs="Arial"/>
          <w:sz w:val="20"/>
          <w:szCs w:val="20"/>
        </w:rPr>
        <w:t xml:space="preserve">PDCCH </w:t>
      </w:r>
      <w:r w:rsidRPr="00711A6F">
        <w:rPr>
          <w:rFonts w:ascii="Arial" w:hAnsi="Arial" w:cs="Arial"/>
          <w:sz w:val="20"/>
          <w:szCs w:val="20"/>
          <w:lang w:val="en-US"/>
        </w:rPr>
        <w:t>monitoring</w:t>
      </w:r>
      <w:r w:rsidRPr="00711A6F">
        <w:rPr>
          <w:rFonts w:ascii="Arial" w:hAnsi="Arial" w:cs="Arial"/>
          <w:sz w:val="20"/>
          <w:szCs w:val="20"/>
        </w:rPr>
        <w:t xml:space="preserve"> is turned off </w:t>
      </w:r>
      <w:r w:rsidRPr="00711A6F">
        <w:rPr>
          <w:rFonts w:ascii="Arial" w:hAnsi="Arial" w:cs="Arial"/>
          <w:sz w:val="20"/>
          <w:szCs w:val="20"/>
          <w:lang w:val="en-US"/>
        </w:rPr>
        <w:t xml:space="preserve">for the UE using a ‘genie assisted’ mechanism whenever there is no data reception </w:t>
      </w:r>
      <w:r w:rsidRPr="00711A6F">
        <w:rPr>
          <w:rFonts w:ascii="Arial" w:hAnsi="Arial" w:cs="Arial"/>
          <w:sz w:val="20"/>
          <w:szCs w:val="20"/>
        </w:rPr>
        <w:t>(sleep if no UL)</w:t>
      </w:r>
      <w:r w:rsidRPr="00711A6F">
        <w:rPr>
          <w:rFonts w:ascii="Arial" w:hAnsi="Arial" w:cs="Arial"/>
          <w:sz w:val="20"/>
          <w:szCs w:val="20"/>
          <w:lang w:val="en-US"/>
        </w:rPr>
        <w:t xml:space="preserve"> and the UE is sent to sleep state. Power consumption for the sleep state is based on available sleep duration.  </w:t>
      </w:r>
    </w:p>
    <w:p w14:paraId="414CCDB8" w14:textId="77777777" w:rsidR="000174C5" w:rsidRPr="000174C5" w:rsidRDefault="000174C5" w:rsidP="000174C5">
      <w:pPr>
        <w:pStyle w:val="ListParagraph"/>
        <w:ind w:left="1440"/>
        <w:rPr>
          <w:rFonts w:ascii="Arial" w:hAnsi="Arial" w:cs="Arial"/>
          <w:sz w:val="20"/>
          <w:szCs w:val="20"/>
          <w:lang w:val="en-GB" w:eastAsia="ja-JP"/>
        </w:rPr>
      </w:pPr>
    </w:p>
    <w:p w14:paraId="2683D4F2" w14:textId="77777777" w:rsidR="00490DA4" w:rsidRPr="00E22371" w:rsidRDefault="00490DA4" w:rsidP="00490DA4">
      <w:pPr>
        <w:pStyle w:val="Heading3"/>
      </w:pPr>
      <w:r>
        <w:t>2.3.1</w:t>
      </w:r>
      <w:r>
        <w:tab/>
        <w:t xml:space="preserve">DL CG model </w:t>
      </w:r>
    </w:p>
    <w:p w14:paraId="2A8D195D" w14:textId="77777777" w:rsidR="00490DA4" w:rsidRPr="008C7EC8" w:rsidRDefault="00490DA4" w:rsidP="00490DA4">
      <w:pPr>
        <w:rPr>
          <w:rFonts w:cs="Arial"/>
          <w:szCs w:val="20"/>
          <w:lang w:val="en-GB" w:eastAsia="ja-JP"/>
        </w:rPr>
      </w:pPr>
      <w:r>
        <w:rPr>
          <w:rFonts w:cs="Arial"/>
          <w:szCs w:val="20"/>
          <w:lang w:val="en-GB" w:eastAsia="ja-JP"/>
        </w:rPr>
        <w:t xml:space="preserve">Figure 2.3.1-1 shows </w:t>
      </w:r>
      <w:r w:rsidRPr="00421335">
        <w:rPr>
          <w:rFonts w:cs="Arial"/>
          <w:szCs w:val="20"/>
          <w:lang w:val="en-GB" w:eastAsia="ja-JP"/>
        </w:rPr>
        <w:t>XR performance for baseline (no DRX) case vs. different DRX settings</w:t>
      </w:r>
    </w:p>
    <w:p w14:paraId="0212C946" w14:textId="77777777" w:rsidR="00490DA4" w:rsidRDefault="00490DA4" w:rsidP="00490DA4">
      <w:pPr>
        <w:jc w:val="center"/>
      </w:pPr>
      <w:r w:rsidRPr="00B83D1B">
        <w:rPr>
          <w:noProof/>
        </w:rPr>
        <w:drawing>
          <wp:inline distT="0" distB="0" distL="0" distR="0" wp14:anchorId="58508C08" wp14:editId="2518E53A">
            <wp:extent cx="3943350" cy="29563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0661" cy="2976812"/>
                    </a:xfrm>
                    <a:prstGeom prst="rect">
                      <a:avLst/>
                    </a:prstGeom>
                    <a:noFill/>
                    <a:ln>
                      <a:noFill/>
                    </a:ln>
                  </pic:spPr>
                </pic:pic>
              </a:graphicData>
            </a:graphic>
          </wp:inline>
        </w:drawing>
      </w:r>
    </w:p>
    <w:p w14:paraId="59FD95A9" w14:textId="26175E61" w:rsidR="00490DA4" w:rsidRPr="000174C5" w:rsidRDefault="00490DA4" w:rsidP="000174C5">
      <w:pPr>
        <w:jc w:val="center"/>
        <w:rPr>
          <w:b/>
          <w:lang w:val="x-none" w:eastAsia="x-none"/>
        </w:rPr>
      </w:pPr>
      <w:r w:rsidRPr="004244EE">
        <w:rPr>
          <w:b/>
          <w:lang w:val="x-none" w:eastAsia="x-none"/>
        </w:rPr>
        <w:t>Figure 2.3</w:t>
      </w:r>
      <w:r>
        <w:rPr>
          <w:b/>
          <w:lang w:eastAsia="x-none"/>
        </w:rPr>
        <w:t>.1</w:t>
      </w:r>
      <w:r w:rsidRPr="004244EE">
        <w:rPr>
          <w:b/>
          <w:lang w:val="x-none" w:eastAsia="x-none"/>
        </w:rPr>
        <w:t>-1: XR performance for baseline (no DRX) case vs. different DRX settings</w:t>
      </w:r>
    </w:p>
    <w:p w14:paraId="706361F0" w14:textId="55F8A805" w:rsidR="00490DA4" w:rsidRDefault="00490DA4" w:rsidP="00490DA4">
      <w:r>
        <w:t>Figure 2.3.1-2a</w:t>
      </w:r>
      <w:r w:rsidR="00D31128">
        <w:t xml:space="preserve"> and</w:t>
      </w:r>
      <w:r>
        <w:t xml:space="preserve"> 2.3.1-2b show CDF</w:t>
      </w:r>
      <w:r w:rsidR="00D31128">
        <w:t>s</w:t>
      </w:r>
      <w:r>
        <w:t xml:space="preserve"> of UE power consumption for medium/high loads (i.e., 5,10 UEs/cell respectively)</w:t>
      </w:r>
      <w:r w:rsidR="00D31128">
        <w:t xml:space="preserve"> for different DRX settings.</w:t>
      </w:r>
    </w:p>
    <w:p w14:paraId="2FB12375" w14:textId="77777777" w:rsidR="00490DA4" w:rsidRPr="00E22371" w:rsidRDefault="00490DA4" w:rsidP="00490DA4">
      <w:r w:rsidRPr="00CC4966">
        <w:rPr>
          <w:noProof/>
        </w:rPr>
        <w:drawing>
          <wp:inline distT="0" distB="0" distL="0" distR="0" wp14:anchorId="471E9F23" wp14:editId="7CCBDCF9">
            <wp:extent cx="2882900" cy="216131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9527" cy="2188777"/>
                    </a:xfrm>
                    <a:prstGeom prst="rect">
                      <a:avLst/>
                    </a:prstGeom>
                    <a:noFill/>
                    <a:ln>
                      <a:noFill/>
                    </a:ln>
                  </pic:spPr>
                </pic:pic>
              </a:graphicData>
            </a:graphic>
          </wp:inline>
        </w:drawing>
      </w:r>
      <w:r w:rsidRPr="00CC4966">
        <w:rPr>
          <w:noProof/>
        </w:rPr>
        <w:drawing>
          <wp:inline distT="0" distB="0" distL="0" distR="0" wp14:anchorId="33E945CD" wp14:editId="1727A15E">
            <wp:extent cx="2879325" cy="21586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7468" cy="2172238"/>
                    </a:xfrm>
                    <a:prstGeom prst="rect">
                      <a:avLst/>
                    </a:prstGeom>
                    <a:noFill/>
                    <a:ln>
                      <a:noFill/>
                    </a:ln>
                  </pic:spPr>
                </pic:pic>
              </a:graphicData>
            </a:graphic>
          </wp:inline>
        </w:drawing>
      </w:r>
    </w:p>
    <w:p w14:paraId="4C19E7F8" w14:textId="404EACFD" w:rsidR="00490DA4" w:rsidRPr="000174C5" w:rsidRDefault="00490DA4" w:rsidP="000174C5">
      <w:pPr>
        <w:jc w:val="center"/>
        <w:rPr>
          <w:b/>
          <w:lang w:eastAsia="x-none"/>
        </w:rPr>
      </w:pPr>
      <w:r w:rsidRPr="00711A6F">
        <w:rPr>
          <w:b/>
          <w:lang w:val="x-none" w:eastAsia="x-none"/>
        </w:rPr>
        <w:t>Figure</w:t>
      </w:r>
      <w:r>
        <w:rPr>
          <w:b/>
          <w:lang w:eastAsia="x-none"/>
        </w:rPr>
        <w:t>s</w:t>
      </w:r>
      <w:r w:rsidRPr="00711A6F">
        <w:rPr>
          <w:b/>
          <w:lang w:val="x-none" w:eastAsia="x-none"/>
        </w:rPr>
        <w:t xml:space="preserve"> 2.3</w:t>
      </w:r>
      <w:r>
        <w:rPr>
          <w:b/>
          <w:lang w:eastAsia="x-none"/>
        </w:rPr>
        <w:t>.1</w:t>
      </w:r>
      <w:r w:rsidRPr="00711A6F">
        <w:rPr>
          <w:b/>
          <w:lang w:val="x-none" w:eastAsia="x-none"/>
        </w:rPr>
        <w:t>-</w:t>
      </w:r>
      <w:r>
        <w:rPr>
          <w:b/>
          <w:lang w:eastAsia="x-none"/>
        </w:rPr>
        <w:t xml:space="preserve">2a (left), 2.3.1-2b (right) </w:t>
      </w:r>
      <w:r w:rsidRPr="00711A6F">
        <w:rPr>
          <w:b/>
          <w:lang w:val="x-none" w:eastAsia="x-none"/>
        </w:rPr>
        <w:t xml:space="preserve">: XR </w:t>
      </w:r>
      <w:r>
        <w:rPr>
          <w:b/>
          <w:lang w:eastAsia="x-none"/>
        </w:rPr>
        <w:t>Power consumption for different cell loading (DL CG)</w:t>
      </w:r>
    </w:p>
    <w:p w14:paraId="18E4FD9F" w14:textId="30474B89" w:rsidR="00490DA4" w:rsidRDefault="00490DA4" w:rsidP="00490DA4">
      <w:r>
        <w:t>Figure 2.3.1-3a</w:t>
      </w:r>
      <w:r w:rsidR="00D31128">
        <w:t xml:space="preserve"> and</w:t>
      </w:r>
      <w:r>
        <w:t xml:space="preserve"> 2.3.1-3b show the relative fraction of time consumed by the UE in different power consumption states (‘</w:t>
      </w:r>
      <w:proofErr w:type="spellStart"/>
      <w:r>
        <w:t>ulNoTrans</w:t>
      </w:r>
      <w:proofErr w:type="spellEnd"/>
      <w:r>
        <w:t>’ &amp; ‘</w:t>
      </w:r>
      <w:proofErr w:type="spellStart"/>
      <w:r>
        <w:t>dlNoDetect</w:t>
      </w:r>
      <w:proofErr w:type="spellEnd"/>
      <w:r>
        <w:t>’ indicate inactive UL or DL slot</w:t>
      </w:r>
      <w:r w:rsidR="00912186">
        <w:t>s</w:t>
      </w:r>
      <w:r>
        <w:t xml:space="preserve"> but the slot may be active in the other direction). Figure 2.3.1-3a shows results for </w:t>
      </w:r>
      <w:r w:rsidRPr="000904DD">
        <w:t>medium load (5UEs/cell) and</w:t>
      </w:r>
      <w:r>
        <w:t xml:space="preserve"> 2.3.1-3b for high load (10UEs/cell)</w:t>
      </w:r>
    </w:p>
    <w:p w14:paraId="23E27F26" w14:textId="77777777" w:rsidR="00490DA4" w:rsidRDefault="00490DA4" w:rsidP="00490DA4"/>
    <w:p w14:paraId="4334AC19" w14:textId="77777777" w:rsidR="00490DA4" w:rsidRDefault="00490DA4" w:rsidP="00490DA4"/>
    <w:p w14:paraId="56BB0602" w14:textId="77777777" w:rsidR="00490DA4" w:rsidRDefault="00490DA4" w:rsidP="00490DA4">
      <w:r>
        <w:rPr>
          <w:noProof/>
        </w:rPr>
        <w:lastRenderedPageBreak/>
        <w:drawing>
          <wp:inline distT="0" distB="0" distL="0" distR="0" wp14:anchorId="66664918" wp14:editId="7D0F1587">
            <wp:extent cx="2828925" cy="2121693"/>
            <wp:effectExtent l="0" t="0" r="0" b="0"/>
            <wp:docPr id="2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0">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7370770A-272B-41BC-B7CA-C29C7DEE5579}"/>
                        </a:ext>
                      </a:extLst>
                    </a:blip>
                    <a:stretch>
                      <a:fillRect/>
                    </a:stretch>
                  </pic:blipFill>
                  <pic:spPr>
                    <a:xfrm>
                      <a:off x="0" y="0"/>
                      <a:ext cx="2828925" cy="2121693"/>
                    </a:xfrm>
                    <a:prstGeom prst="rect">
                      <a:avLst/>
                    </a:prstGeom>
                  </pic:spPr>
                </pic:pic>
              </a:graphicData>
            </a:graphic>
          </wp:inline>
        </w:drawing>
      </w:r>
      <w:r>
        <w:rPr>
          <w:noProof/>
        </w:rPr>
        <w:drawing>
          <wp:inline distT="0" distB="0" distL="0" distR="0" wp14:anchorId="46B9C6E4" wp14:editId="600FF391">
            <wp:extent cx="2813743" cy="2109047"/>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a:extLst>
                        <a:ext uri="{28A0092B-C50C-407E-A947-70E740481C1C}">
                          <a14:useLocalDpi xmlns:a14="http://schemas.microsoft.com/office/drawing/2010/main" val="0"/>
                        </a:ext>
                      </a:extLst>
                    </a:blip>
                    <a:stretch>
                      <a:fillRect/>
                    </a:stretch>
                  </pic:blipFill>
                  <pic:spPr>
                    <a:xfrm>
                      <a:off x="0" y="0"/>
                      <a:ext cx="2813743" cy="2109047"/>
                    </a:xfrm>
                    <a:prstGeom prst="rect">
                      <a:avLst/>
                    </a:prstGeom>
                  </pic:spPr>
                </pic:pic>
              </a:graphicData>
            </a:graphic>
          </wp:inline>
        </w:drawing>
      </w:r>
    </w:p>
    <w:p w14:paraId="0C81E5EF" w14:textId="1B6525D8" w:rsidR="00490DA4" w:rsidRPr="00D31128" w:rsidRDefault="00490DA4" w:rsidP="00D31128">
      <w:pPr>
        <w:jc w:val="center"/>
        <w:rPr>
          <w:b/>
          <w:lang w:eastAsia="x-none"/>
        </w:rPr>
      </w:pPr>
      <w:r w:rsidRPr="00711A6F">
        <w:rPr>
          <w:b/>
          <w:lang w:val="x-none" w:eastAsia="x-none"/>
        </w:rPr>
        <w:t>Figure</w:t>
      </w:r>
      <w:r>
        <w:rPr>
          <w:b/>
          <w:lang w:eastAsia="x-none"/>
        </w:rPr>
        <w:t>s</w:t>
      </w:r>
      <w:r w:rsidRPr="00711A6F">
        <w:rPr>
          <w:b/>
          <w:lang w:val="x-none" w:eastAsia="x-none"/>
        </w:rPr>
        <w:t xml:space="preserve"> 2.3</w:t>
      </w:r>
      <w:r>
        <w:rPr>
          <w:b/>
          <w:lang w:eastAsia="x-none"/>
        </w:rPr>
        <w:t>.1</w:t>
      </w:r>
      <w:r w:rsidRPr="00711A6F">
        <w:rPr>
          <w:b/>
          <w:lang w:val="x-none" w:eastAsia="x-none"/>
        </w:rPr>
        <w:t>-</w:t>
      </w:r>
      <w:r>
        <w:rPr>
          <w:b/>
          <w:lang w:eastAsia="x-none"/>
        </w:rPr>
        <w:t xml:space="preserve">3a (left), 2.3.1-3b (right) </w:t>
      </w:r>
      <w:r w:rsidRPr="00711A6F">
        <w:rPr>
          <w:b/>
          <w:lang w:val="x-none" w:eastAsia="x-none"/>
        </w:rPr>
        <w:t xml:space="preserve">: </w:t>
      </w:r>
      <w:r w:rsidRPr="004244EE">
        <w:rPr>
          <w:b/>
          <w:lang w:eastAsia="x-none"/>
        </w:rPr>
        <w:t>Relative time fraction of different UE power consumption states</w:t>
      </w:r>
      <w:r>
        <w:rPr>
          <w:b/>
          <w:lang w:eastAsia="x-none"/>
        </w:rPr>
        <w:t xml:space="preserve"> (DL CG)</w:t>
      </w:r>
    </w:p>
    <w:p w14:paraId="40F3ECF1" w14:textId="0298F7AA" w:rsidR="00490DA4" w:rsidRDefault="00490DA4" w:rsidP="00490DA4">
      <w:r>
        <w:t>Figure 2.3.1-4a, 2.3.1-4b, show the relative fraction of energy consumed by the UE in different power consumption states. Figure 2.3.1-4a shows results for medium load (5UEs/cell) and 2.3.1-4b for high load (10UEs/cell)</w:t>
      </w:r>
    </w:p>
    <w:p w14:paraId="68D5A11B" w14:textId="77777777" w:rsidR="00490DA4" w:rsidRDefault="00490DA4" w:rsidP="00490DA4">
      <w:r>
        <w:rPr>
          <w:noProof/>
        </w:rPr>
        <w:drawing>
          <wp:inline distT="0" distB="0" distL="0" distR="0" wp14:anchorId="5EFFDA3D" wp14:editId="18644AD4">
            <wp:extent cx="2909456" cy="218079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2">
                      <a:extLst>
                        <a:ext uri="{28A0092B-C50C-407E-A947-70E740481C1C}">
                          <a14:useLocalDpi xmlns:a14="http://schemas.microsoft.com/office/drawing/2010/main" val="0"/>
                        </a:ext>
                      </a:extLst>
                    </a:blip>
                    <a:stretch>
                      <a:fillRect/>
                    </a:stretch>
                  </pic:blipFill>
                  <pic:spPr>
                    <a:xfrm>
                      <a:off x="0" y="0"/>
                      <a:ext cx="2909456" cy="2180791"/>
                    </a:xfrm>
                    <a:prstGeom prst="rect">
                      <a:avLst/>
                    </a:prstGeom>
                  </pic:spPr>
                </pic:pic>
              </a:graphicData>
            </a:graphic>
          </wp:inline>
        </w:drawing>
      </w:r>
      <w:r>
        <w:rPr>
          <w:noProof/>
        </w:rPr>
        <w:drawing>
          <wp:inline distT="0" distB="0" distL="0" distR="0" wp14:anchorId="5A97535F" wp14:editId="7A6651BA">
            <wp:extent cx="2776538" cy="20811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a:extLst>
                        <a:ext uri="{28A0092B-C50C-407E-A947-70E740481C1C}">
                          <a14:useLocalDpi xmlns:a14="http://schemas.microsoft.com/office/drawing/2010/main" val="0"/>
                        </a:ext>
                      </a:extLst>
                    </a:blip>
                    <a:stretch>
                      <a:fillRect/>
                    </a:stretch>
                  </pic:blipFill>
                  <pic:spPr>
                    <a:xfrm>
                      <a:off x="0" y="0"/>
                      <a:ext cx="2776538" cy="2081162"/>
                    </a:xfrm>
                    <a:prstGeom prst="rect">
                      <a:avLst/>
                    </a:prstGeom>
                  </pic:spPr>
                </pic:pic>
              </a:graphicData>
            </a:graphic>
          </wp:inline>
        </w:drawing>
      </w:r>
    </w:p>
    <w:p w14:paraId="1B8E4D12" w14:textId="169B73CA" w:rsidR="00490DA4" w:rsidRPr="00D31128" w:rsidRDefault="00490DA4" w:rsidP="00D31128">
      <w:pPr>
        <w:jc w:val="center"/>
        <w:rPr>
          <w:b/>
          <w:lang w:eastAsia="x-none"/>
        </w:rPr>
      </w:pPr>
      <w:r w:rsidRPr="00711A6F">
        <w:rPr>
          <w:b/>
          <w:lang w:val="x-none" w:eastAsia="x-none"/>
        </w:rPr>
        <w:t>Figure</w:t>
      </w:r>
      <w:r>
        <w:rPr>
          <w:b/>
          <w:lang w:eastAsia="x-none"/>
        </w:rPr>
        <w:t>s</w:t>
      </w:r>
      <w:r w:rsidRPr="00711A6F">
        <w:rPr>
          <w:b/>
          <w:lang w:val="x-none" w:eastAsia="x-none"/>
        </w:rPr>
        <w:t xml:space="preserve"> 2.3</w:t>
      </w:r>
      <w:r>
        <w:rPr>
          <w:b/>
          <w:lang w:eastAsia="x-none"/>
        </w:rPr>
        <w:t>.1</w:t>
      </w:r>
      <w:r w:rsidRPr="00711A6F">
        <w:rPr>
          <w:b/>
          <w:lang w:val="x-none" w:eastAsia="x-none"/>
        </w:rPr>
        <w:t>-</w:t>
      </w:r>
      <w:r>
        <w:rPr>
          <w:b/>
          <w:lang w:eastAsia="x-none"/>
        </w:rPr>
        <w:t xml:space="preserve">4a (left), 2.3.1-4b (right) </w:t>
      </w:r>
      <w:r w:rsidRPr="00711A6F">
        <w:rPr>
          <w:b/>
          <w:lang w:val="x-none" w:eastAsia="x-none"/>
        </w:rPr>
        <w:t xml:space="preserve">: </w:t>
      </w:r>
      <w:r w:rsidRPr="00711A6F">
        <w:rPr>
          <w:b/>
          <w:lang w:eastAsia="x-none"/>
        </w:rPr>
        <w:t xml:space="preserve">Relative </w:t>
      </w:r>
      <w:r>
        <w:rPr>
          <w:b/>
          <w:lang w:eastAsia="x-none"/>
        </w:rPr>
        <w:t>energy</w:t>
      </w:r>
      <w:r w:rsidRPr="00711A6F">
        <w:rPr>
          <w:b/>
          <w:lang w:eastAsia="x-none"/>
        </w:rPr>
        <w:t xml:space="preserve"> fraction of different UE power consumption states</w:t>
      </w:r>
      <w:r>
        <w:rPr>
          <w:b/>
          <w:lang w:eastAsia="x-none"/>
        </w:rPr>
        <w:t xml:space="preserve"> (DL CG)</w:t>
      </w:r>
    </w:p>
    <w:p w14:paraId="5F2BB94D" w14:textId="66E4718F" w:rsidR="00490DA4" w:rsidRDefault="00490DA4" w:rsidP="00490DA4">
      <w:r>
        <w:t>Table 2.3-1 below shows the XR capacity vs. UE power savings tradeoff for the different DRX settings that are considered in the evaluations</w:t>
      </w:r>
    </w:p>
    <w:p w14:paraId="2B70B36A" w14:textId="77777777" w:rsidR="00490DA4" w:rsidRPr="005925A8" w:rsidRDefault="00490DA4" w:rsidP="00490DA4">
      <w:pPr>
        <w:jc w:val="center"/>
        <w:rPr>
          <w:b/>
          <w:lang w:eastAsia="x-none"/>
        </w:rPr>
      </w:pPr>
      <w:r>
        <w:rPr>
          <w:b/>
          <w:lang w:eastAsia="x-none"/>
        </w:rPr>
        <w:t xml:space="preserve">Table 2.3.1-1: </w:t>
      </w:r>
      <w:r w:rsidRPr="005925A8">
        <w:rPr>
          <w:b/>
          <w:lang w:eastAsia="x-none"/>
        </w:rPr>
        <w:t>XR capacity vs. UE power savings tradeoff</w:t>
      </w:r>
      <w:r>
        <w:rPr>
          <w:b/>
          <w:lang w:eastAsia="x-none"/>
        </w:rPr>
        <w:t xml:space="preserve"> (DL CG)</w:t>
      </w:r>
    </w:p>
    <w:tbl>
      <w:tblPr>
        <w:tblStyle w:val="TableGrid"/>
        <w:tblW w:w="9327" w:type="dxa"/>
        <w:tblLook w:val="04A0" w:firstRow="1" w:lastRow="0" w:firstColumn="1" w:lastColumn="0" w:noHBand="0" w:noVBand="1"/>
      </w:tblPr>
      <w:tblGrid>
        <w:gridCol w:w="2005"/>
        <w:gridCol w:w="2042"/>
        <w:gridCol w:w="1888"/>
        <w:gridCol w:w="1710"/>
        <w:gridCol w:w="1682"/>
      </w:tblGrid>
      <w:tr w:rsidR="00490DA4" w14:paraId="02D2ADC0" w14:textId="77777777" w:rsidTr="00E2217B">
        <w:tc>
          <w:tcPr>
            <w:tcW w:w="2005" w:type="dxa"/>
          </w:tcPr>
          <w:p w14:paraId="1D9FA753" w14:textId="77777777" w:rsidR="00490DA4" w:rsidRPr="00F95AD8" w:rsidRDefault="00490DA4" w:rsidP="00E2217B">
            <w:pPr>
              <w:jc w:val="center"/>
              <w:rPr>
                <w:rFonts w:cs="Arial"/>
                <w:b/>
                <w:bCs/>
                <w:sz w:val="20"/>
                <w:szCs w:val="20"/>
              </w:rPr>
            </w:pPr>
            <w:r w:rsidRPr="00F95AD8">
              <w:rPr>
                <w:rFonts w:cs="Arial"/>
                <w:b/>
                <w:bCs/>
                <w:sz w:val="20"/>
                <w:szCs w:val="20"/>
              </w:rPr>
              <w:t>DRX configuration</w:t>
            </w:r>
            <w:r w:rsidRPr="00F95AD8">
              <w:rPr>
                <w:rFonts w:cs="Arial"/>
                <w:b/>
                <w:bCs/>
                <w:sz w:val="20"/>
                <w:szCs w:val="20"/>
              </w:rPr>
              <w:br/>
              <w:t xml:space="preserve"> (DRX cycle, On duration, IAT)</w:t>
            </w:r>
          </w:p>
        </w:tc>
        <w:tc>
          <w:tcPr>
            <w:tcW w:w="2042" w:type="dxa"/>
          </w:tcPr>
          <w:p w14:paraId="10E2EF60" w14:textId="77777777" w:rsidR="00490DA4" w:rsidRPr="00F95AD8" w:rsidRDefault="00490DA4" w:rsidP="00E2217B">
            <w:pPr>
              <w:spacing w:after="0" w:line="240" w:lineRule="auto"/>
              <w:jc w:val="center"/>
              <w:rPr>
                <w:rFonts w:eastAsia="Times New Roman" w:cs="Arial"/>
                <w:b/>
                <w:bCs/>
                <w:sz w:val="20"/>
                <w:szCs w:val="20"/>
              </w:rPr>
            </w:pPr>
            <w:r w:rsidRPr="00F95AD8">
              <w:rPr>
                <w:rFonts w:eastAsia="Times New Roman" w:cs="Arial"/>
                <w:b/>
                <w:bCs/>
                <w:sz w:val="20"/>
                <w:szCs w:val="20"/>
              </w:rPr>
              <w:t>Mean PS gain compared to baseline (%)</w:t>
            </w:r>
          </w:p>
        </w:tc>
        <w:tc>
          <w:tcPr>
            <w:tcW w:w="1888" w:type="dxa"/>
          </w:tcPr>
          <w:p w14:paraId="6D05EFA4" w14:textId="77777777" w:rsidR="00490DA4" w:rsidRPr="00F95AD8" w:rsidRDefault="00490DA4" w:rsidP="00E2217B">
            <w:pPr>
              <w:jc w:val="center"/>
              <w:rPr>
                <w:rFonts w:cs="Arial"/>
                <w:b/>
                <w:bCs/>
                <w:sz w:val="20"/>
                <w:szCs w:val="20"/>
              </w:rPr>
            </w:pPr>
            <w:r w:rsidRPr="00F95AD8">
              <w:rPr>
                <w:rFonts w:cs="Arial"/>
                <w:b/>
                <w:bCs/>
                <w:sz w:val="20"/>
                <w:szCs w:val="20"/>
              </w:rPr>
              <w:t>95%-tile PS gain</w:t>
            </w:r>
          </w:p>
          <w:p w14:paraId="17C76882" w14:textId="77777777" w:rsidR="00490DA4" w:rsidRPr="00F95AD8" w:rsidRDefault="00490DA4" w:rsidP="00E2217B">
            <w:pPr>
              <w:spacing w:after="0" w:line="240" w:lineRule="auto"/>
              <w:jc w:val="center"/>
              <w:rPr>
                <w:rFonts w:eastAsia="Times New Roman" w:cs="Arial"/>
                <w:b/>
                <w:bCs/>
                <w:sz w:val="20"/>
                <w:szCs w:val="20"/>
              </w:rPr>
            </w:pPr>
            <w:r w:rsidRPr="00F95AD8">
              <w:rPr>
                <w:rFonts w:cs="Arial"/>
                <w:b/>
                <w:bCs/>
                <w:sz w:val="20"/>
                <w:szCs w:val="20"/>
              </w:rPr>
              <w:t>(highest Energy)</w:t>
            </w:r>
          </w:p>
        </w:tc>
        <w:tc>
          <w:tcPr>
            <w:tcW w:w="1710" w:type="dxa"/>
          </w:tcPr>
          <w:p w14:paraId="5800F581" w14:textId="77777777" w:rsidR="00490DA4" w:rsidRPr="00F95AD8" w:rsidRDefault="00490DA4" w:rsidP="00E2217B">
            <w:pPr>
              <w:jc w:val="center"/>
              <w:rPr>
                <w:rFonts w:cs="Arial"/>
                <w:b/>
                <w:bCs/>
                <w:sz w:val="20"/>
                <w:szCs w:val="20"/>
              </w:rPr>
            </w:pPr>
            <w:r w:rsidRPr="00F95AD8">
              <w:rPr>
                <w:rFonts w:cs="Arial"/>
                <w:b/>
                <w:bCs/>
                <w:sz w:val="20"/>
                <w:szCs w:val="20"/>
              </w:rPr>
              <w:t>5%-tile PS gain</w:t>
            </w:r>
          </w:p>
          <w:p w14:paraId="37D72B22" w14:textId="77777777" w:rsidR="00490DA4" w:rsidRPr="00F95AD8" w:rsidRDefault="00490DA4" w:rsidP="00E2217B">
            <w:pPr>
              <w:spacing w:after="0" w:line="240" w:lineRule="auto"/>
              <w:jc w:val="center"/>
              <w:rPr>
                <w:rFonts w:eastAsia="Times New Roman" w:cs="Arial"/>
                <w:b/>
                <w:bCs/>
                <w:sz w:val="20"/>
                <w:szCs w:val="20"/>
              </w:rPr>
            </w:pPr>
            <w:r w:rsidRPr="00F95AD8">
              <w:rPr>
                <w:rFonts w:cs="Arial"/>
                <w:b/>
                <w:bCs/>
                <w:sz w:val="20"/>
                <w:szCs w:val="20"/>
              </w:rPr>
              <w:t>(lowest Energy)</w:t>
            </w:r>
          </w:p>
        </w:tc>
        <w:tc>
          <w:tcPr>
            <w:tcW w:w="1682" w:type="dxa"/>
          </w:tcPr>
          <w:p w14:paraId="549E85F3" w14:textId="77777777" w:rsidR="00490DA4" w:rsidRPr="00F95AD8" w:rsidRDefault="00490DA4" w:rsidP="00E2217B">
            <w:pPr>
              <w:spacing w:after="0" w:line="240" w:lineRule="auto"/>
              <w:jc w:val="center"/>
              <w:rPr>
                <w:rFonts w:eastAsia="Times New Roman" w:cs="Arial"/>
                <w:b/>
                <w:bCs/>
                <w:sz w:val="20"/>
                <w:szCs w:val="20"/>
              </w:rPr>
            </w:pPr>
            <w:r w:rsidRPr="00F95AD8">
              <w:rPr>
                <w:rFonts w:eastAsia="Times New Roman" w:cs="Arial"/>
                <w:b/>
                <w:bCs/>
                <w:sz w:val="20"/>
                <w:szCs w:val="20"/>
              </w:rPr>
              <w:t>%satisfied UEs</w:t>
            </w:r>
            <w:r w:rsidRPr="00F95AD8">
              <w:rPr>
                <w:rFonts w:eastAsia="Times New Roman" w:cs="Arial"/>
                <w:b/>
                <w:bCs/>
                <w:sz w:val="20"/>
                <w:szCs w:val="20"/>
              </w:rPr>
              <w:br/>
              <w:t>(10UEs/cell)</w:t>
            </w:r>
          </w:p>
          <w:p w14:paraId="6085A9DF" w14:textId="77777777" w:rsidR="00490DA4" w:rsidRPr="00F95AD8" w:rsidRDefault="00490DA4" w:rsidP="00E2217B">
            <w:pPr>
              <w:jc w:val="center"/>
              <w:rPr>
                <w:rFonts w:cs="Arial"/>
                <w:b/>
                <w:bCs/>
                <w:sz w:val="20"/>
                <w:szCs w:val="20"/>
              </w:rPr>
            </w:pPr>
          </w:p>
        </w:tc>
      </w:tr>
      <w:tr w:rsidR="00490DA4" w14:paraId="75AA5EB4" w14:textId="77777777" w:rsidTr="00E2217B">
        <w:tc>
          <w:tcPr>
            <w:tcW w:w="2005" w:type="dxa"/>
          </w:tcPr>
          <w:p w14:paraId="67605B24"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No DRX (baseline)</w:t>
            </w:r>
          </w:p>
        </w:tc>
        <w:tc>
          <w:tcPr>
            <w:tcW w:w="2042" w:type="dxa"/>
          </w:tcPr>
          <w:p w14:paraId="76955D5A"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N/A</w:t>
            </w:r>
          </w:p>
        </w:tc>
        <w:tc>
          <w:tcPr>
            <w:tcW w:w="1888" w:type="dxa"/>
          </w:tcPr>
          <w:p w14:paraId="5B2B3E67"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N/A</w:t>
            </w:r>
          </w:p>
        </w:tc>
        <w:tc>
          <w:tcPr>
            <w:tcW w:w="1710" w:type="dxa"/>
          </w:tcPr>
          <w:p w14:paraId="2505E73C"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N/A</w:t>
            </w:r>
          </w:p>
        </w:tc>
        <w:tc>
          <w:tcPr>
            <w:tcW w:w="1682" w:type="dxa"/>
          </w:tcPr>
          <w:p w14:paraId="6E84BF43"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96%</w:t>
            </w:r>
          </w:p>
        </w:tc>
      </w:tr>
      <w:tr w:rsidR="00490DA4" w14:paraId="6CAD0662" w14:textId="77777777" w:rsidTr="00E2217B">
        <w:tc>
          <w:tcPr>
            <w:tcW w:w="2005" w:type="dxa"/>
          </w:tcPr>
          <w:p w14:paraId="240018DA" w14:textId="77777777" w:rsidR="00490DA4" w:rsidRPr="005925A8" w:rsidRDefault="00490DA4" w:rsidP="00E2217B">
            <w:pPr>
              <w:spacing w:after="0" w:line="240" w:lineRule="auto"/>
              <w:jc w:val="center"/>
              <w:rPr>
                <w:rFonts w:ascii="Times New Roman" w:eastAsia="Times New Roman" w:hAnsi="Times New Roman" w:cs="Times New Roman"/>
                <w:sz w:val="20"/>
                <w:szCs w:val="20"/>
              </w:rPr>
            </w:pPr>
            <w:r w:rsidRPr="005925A8">
              <w:rPr>
                <w:rFonts w:ascii="Times New Roman" w:eastAsia="Times New Roman" w:hAnsi="Times New Roman" w:cs="Times New Roman"/>
                <w:sz w:val="20"/>
                <w:szCs w:val="20"/>
              </w:rPr>
              <w:t>(10ms,3ms,1ms)</w:t>
            </w:r>
          </w:p>
        </w:tc>
        <w:tc>
          <w:tcPr>
            <w:tcW w:w="2042" w:type="dxa"/>
          </w:tcPr>
          <w:p w14:paraId="32C6279B"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25%</w:t>
            </w:r>
          </w:p>
        </w:tc>
        <w:tc>
          <w:tcPr>
            <w:tcW w:w="1888" w:type="dxa"/>
          </w:tcPr>
          <w:p w14:paraId="76EA38ED"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22%</w:t>
            </w:r>
          </w:p>
        </w:tc>
        <w:tc>
          <w:tcPr>
            <w:tcW w:w="1710" w:type="dxa"/>
          </w:tcPr>
          <w:p w14:paraId="1296D137"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32%</w:t>
            </w:r>
          </w:p>
        </w:tc>
        <w:tc>
          <w:tcPr>
            <w:tcW w:w="1682" w:type="dxa"/>
          </w:tcPr>
          <w:p w14:paraId="3EE4DADC"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80%</w:t>
            </w:r>
          </w:p>
        </w:tc>
      </w:tr>
      <w:tr w:rsidR="00490DA4" w14:paraId="0E8CF337" w14:textId="77777777" w:rsidTr="00E2217B">
        <w:tc>
          <w:tcPr>
            <w:tcW w:w="2005" w:type="dxa"/>
          </w:tcPr>
          <w:p w14:paraId="44DABCFC" w14:textId="77777777" w:rsidR="00490DA4" w:rsidRPr="005925A8" w:rsidRDefault="00490DA4" w:rsidP="00E2217B">
            <w:pPr>
              <w:jc w:val="center"/>
              <w:rPr>
                <w:rFonts w:ascii="Times New Roman" w:hAnsi="Times New Roman" w:cs="Times New Roman"/>
                <w:sz w:val="20"/>
                <w:szCs w:val="20"/>
              </w:rPr>
            </w:pPr>
            <w:r w:rsidRPr="005925A8">
              <w:rPr>
                <w:rFonts w:ascii="Times New Roman" w:eastAsia="Times New Roman" w:hAnsi="Times New Roman" w:cs="Times New Roman"/>
                <w:sz w:val="20"/>
                <w:szCs w:val="20"/>
              </w:rPr>
              <w:t>(10ms,5ms,1ms)</w:t>
            </w:r>
          </w:p>
        </w:tc>
        <w:tc>
          <w:tcPr>
            <w:tcW w:w="2042" w:type="dxa"/>
          </w:tcPr>
          <w:p w14:paraId="1690F23B"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15%</w:t>
            </w:r>
          </w:p>
        </w:tc>
        <w:tc>
          <w:tcPr>
            <w:tcW w:w="1888" w:type="dxa"/>
          </w:tcPr>
          <w:p w14:paraId="51A97D60"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13%</w:t>
            </w:r>
          </w:p>
        </w:tc>
        <w:tc>
          <w:tcPr>
            <w:tcW w:w="1710" w:type="dxa"/>
          </w:tcPr>
          <w:p w14:paraId="6E3BB1B3"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16%</w:t>
            </w:r>
          </w:p>
        </w:tc>
        <w:tc>
          <w:tcPr>
            <w:tcW w:w="1682" w:type="dxa"/>
          </w:tcPr>
          <w:p w14:paraId="031D1A77"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88%</w:t>
            </w:r>
          </w:p>
        </w:tc>
      </w:tr>
      <w:tr w:rsidR="00490DA4" w14:paraId="7E1ACAC1" w14:textId="77777777" w:rsidTr="00E2217B">
        <w:tc>
          <w:tcPr>
            <w:tcW w:w="2005" w:type="dxa"/>
          </w:tcPr>
          <w:p w14:paraId="505B505C" w14:textId="77777777" w:rsidR="00490DA4" w:rsidRPr="005925A8" w:rsidRDefault="00490DA4" w:rsidP="00E2217B">
            <w:pPr>
              <w:jc w:val="center"/>
              <w:rPr>
                <w:rFonts w:ascii="Times New Roman" w:hAnsi="Times New Roman" w:cs="Times New Roman"/>
                <w:sz w:val="20"/>
                <w:szCs w:val="20"/>
              </w:rPr>
            </w:pPr>
            <w:r w:rsidRPr="005925A8">
              <w:rPr>
                <w:rFonts w:ascii="Times New Roman" w:eastAsia="Times New Roman" w:hAnsi="Times New Roman" w:cs="Times New Roman"/>
                <w:sz w:val="20"/>
                <w:szCs w:val="20"/>
              </w:rPr>
              <w:t>(10ms,5ms,5ms)</w:t>
            </w:r>
          </w:p>
        </w:tc>
        <w:tc>
          <w:tcPr>
            <w:tcW w:w="2042" w:type="dxa"/>
          </w:tcPr>
          <w:p w14:paraId="5A26BFEC"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11%</w:t>
            </w:r>
          </w:p>
        </w:tc>
        <w:tc>
          <w:tcPr>
            <w:tcW w:w="1888" w:type="dxa"/>
          </w:tcPr>
          <w:p w14:paraId="1B9DAD28"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9.0%</w:t>
            </w:r>
          </w:p>
        </w:tc>
        <w:tc>
          <w:tcPr>
            <w:tcW w:w="1710" w:type="dxa"/>
          </w:tcPr>
          <w:p w14:paraId="0B08AB01"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12%</w:t>
            </w:r>
          </w:p>
        </w:tc>
        <w:tc>
          <w:tcPr>
            <w:tcW w:w="1682" w:type="dxa"/>
          </w:tcPr>
          <w:p w14:paraId="6695062D"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96%</w:t>
            </w:r>
          </w:p>
        </w:tc>
      </w:tr>
      <w:tr w:rsidR="00490DA4" w14:paraId="4EFA03B9" w14:textId="77777777" w:rsidTr="00E2217B">
        <w:tc>
          <w:tcPr>
            <w:tcW w:w="2005" w:type="dxa"/>
          </w:tcPr>
          <w:p w14:paraId="64E14938" w14:textId="77777777" w:rsidR="00490DA4" w:rsidRPr="005925A8" w:rsidRDefault="00490DA4" w:rsidP="00E2217B">
            <w:pPr>
              <w:spacing w:after="0" w:line="240" w:lineRule="auto"/>
              <w:jc w:val="center"/>
              <w:rPr>
                <w:rFonts w:ascii="Times New Roman" w:eastAsia="Times New Roman" w:hAnsi="Times New Roman" w:cs="Times New Roman"/>
                <w:sz w:val="20"/>
                <w:szCs w:val="20"/>
              </w:rPr>
            </w:pPr>
            <w:r w:rsidRPr="005925A8">
              <w:rPr>
                <w:rFonts w:ascii="Times New Roman" w:eastAsia="Times New Roman" w:hAnsi="Times New Roman" w:cs="Times New Roman"/>
                <w:sz w:val="20"/>
                <w:szCs w:val="20"/>
              </w:rPr>
              <w:t>(10ms,8ms,1ms)</w:t>
            </w:r>
          </w:p>
        </w:tc>
        <w:tc>
          <w:tcPr>
            <w:tcW w:w="2042" w:type="dxa"/>
          </w:tcPr>
          <w:p w14:paraId="31C2D3F8"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5.0%</w:t>
            </w:r>
          </w:p>
        </w:tc>
        <w:tc>
          <w:tcPr>
            <w:tcW w:w="1888" w:type="dxa"/>
          </w:tcPr>
          <w:p w14:paraId="1A4A96C8"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3.8%</w:t>
            </w:r>
          </w:p>
        </w:tc>
        <w:tc>
          <w:tcPr>
            <w:tcW w:w="1710" w:type="dxa"/>
          </w:tcPr>
          <w:p w14:paraId="3A872749"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5.9%</w:t>
            </w:r>
          </w:p>
        </w:tc>
        <w:tc>
          <w:tcPr>
            <w:tcW w:w="1682" w:type="dxa"/>
          </w:tcPr>
          <w:p w14:paraId="6DFAF0EF"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95%</w:t>
            </w:r>
          </w:p>
        </w:tc>
      </w:tr>
      <w:tr w:rsidR="00490DA4" w14:paraId="37071A79" w14:textId="77777777" w:rsidTr="00E2217B">
        <w:tc>
          <w:tcPr>
            <w:tcW w:w="2005" w:type="dxa"/>
          </w:tcPr>
          <w:p w14:paraId="686DB6A2"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genie</w:t>
            </w:r>
          </w:p>
        </w:tc>
        <w:tc>
          <w:tcPr>
            <w:tcW w:w="2042" w:type="dxa"/>
          </w:tcPr>
          <w:p w14:paraId="54044A4E"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33%</w:t>
            </w:r>
          </w:p>
        </w:tc>
        <w:tc>
          <w:tcPr>
            <w:tcW w:w="1888" w:type="dxa"/>
          </w:tcPr>
          <w:p w14:paraId="43A369ED"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22%</w:t>
            </w:r>
          </w:p>
        </w:tc>
        <w:tc>
          <w:tcPr>
            <w:tcW w:w="1710" w:type="dxa"/>
          </w:tcPr>
          <w:p w14:paraId="6F238FE6"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41%</w:t>
            </w:r>
          </w:p>
        </w:tc>
        <w:tc>
          <w:tcPr>
            <w:tcW w:w="1682" w:type="dxa"/>
          </w:tcPr>
          <w:p w14:paraId="42544C7C" w14:textId="77777777" w:rsidR="00490DA4" w:rsidRPr="005925A8" w:rsidRDefault="00490DA4" w:rsidP="00E2217B">
            <w:pPr>
              <w:jc w:val="center"/>
              <w:rPr>
                <w:rFonts w:ascii="Times New Roman" w:hAnsi="Times New Roman" w:cs="Times New Roman"/>
                <w:sz w:val="20"/>
                <w:szCs w:val="20"/>
              </w:rPr>
            </w:pPr>
            <w:r w:rsidRPr="005925A8">
              <w:rPr>
                <w:rFonts w:ascii="Times New Roman" w:hAnsi="Times New Roman" w:cs="Times New Roman"/>
                <w:sz w:val="20"/>
                <w:szCs w:val="20"/>
              </w:rPr>
              <w:t>N/A</w:t>
            </w:r>
          </w:p>
        </w:tc>
      </w:tr>
    </w:tbl>
    <w:p w14:paraId="268F5D3D" w14:textId="77777777" w:rsidR="00490DA4" w:rsidRDefault="00490DA4" w:rsidP="00490DA4">
      <w:r w:rsidDel="00CF2FF8">
        <w:t xml:space="preserve"> </w:t>
      </w:r>
    </w:p>
    <w:p w14:paraId="64F8B95C" w14:textId="77777777" w:rsidR="00490DA4" w:rsidRPr="00E22371" w:rsidRDefault="00490DA4" w:rsidP="00490DA4">
      <w:pPr>
        <w:pStyle w:val="Heading3"/>
      </w:pPr>
      <w:r>
        <w:lastRenderedPageBreak/>
        <w:t>2.3.2</w:t>
      </w:r>
      <w:r>
        <w:tab/>
        <w:t>DL CG + UL Pose model</w:t>
      </w:r>
    </w:p>
    <w:p w14:paraId="34EBF436" w14:textId="7C82C1B9" w:rsidR="00490DA4" w:rsidRDefault="00490DA4" w:rsidP="00490DA4">
      <w:r>
        <w:t>Here we sho</w:t>
      </w:r>
      <w:r w:rsidR="000174C5">
        <w:t>w</w:t>
      </w:r>
      <w:r>
        <w:t xml:space="preserve"> UE power consumption also considering UL transmissions for pose updates.</w:t>
      </w:r>
    </w:p>
    <w:p w14:paraId="5B0483C6" w14:textId="77777777" w:rsidR="00490DA4" w:rsidRDefault="00490DA4" w:rsidP="00490DA4">
      <w:r>
        <w:t>Two cases are considered for the initial evaluation</w:t>
      </w:r>
    </w:p>
    <w:p w14:paraId="574019B2" w14:textId="77777777" w:rsidR="00490DA4" w:rsidRPr="00711A6F" w:rsidRDefault="00490DA4" w:rsidP="00490DA4">
      <w:pPr>
        <w:pStyle w:val="ListParagraph"/>
        <w:numPr>
          <w:ilvl w:val="0"/>
          <w:numId w:val="29"/>
        </w:numPr>
        <w:rPr>
          <w:rFonts w:ascii="Arial" w:hAnsi="Arial" w:cs="Arial"/>
          <w:sz w:val="20"/>
          <w:szCs w:val="20"/>
          <w:lang w:val="en-GB" w:eastAsia="ja-JP"/>
        </w:rPr>
      </w:pPr>
      <w:r w:rsidRPr="00711A6F">
        <w:rPr>
          <w:rFonts w:ascii="Arial" w:hAnsi="Arial" w:cs="Arial"/>
          <w:sz w:val="20"/>
          <w:szCs w:val="20"/>
          <w:lang w:val="en-GB" w:eastAsia="ja-JP"/>
        </w:rPr>
        <w:t>Baseline case with no DRX is configured</w:t>
      </w:r>
    </w:p>
    <w:p w14:paraId="5126A88A" w14:textId="77777777" w:rsidR="00490DA4" w:rsidRDefault="00490DA4" w:rsidP="00490DA4">
      <w:pPr>
        <w:pStyle w:val="ListParagraph"/>
        <w:numPr>
          <w:ilvl w:val="1"/>
          <w:numId w:val="29"/>
        </w:numPr>
        <w:rPr>
          <w:rFonts w:ascii="Arial" w:hAnsi="Arial" w:cs="Arial"/>
          <w:sz w:val="20"/>
          <w:szCs w:val="20"/>
          <w:lang w:val="en-GB" w:eastAsia="ja-JP"/>
        </w:rPr>
      </w:pPr>
      <w:r w:rsidRPr="00711A6F">
        <w:rPr>
          <w:rFonts w:ascii="Arial" w:hAnsi="Arial" w:cs="Arial"/>
          <w:sz w:val="20"/>
          <w:szCs w:val="20"/>
          <w:lang w:val="en-GB" w:eastAsia="ja-JP"/>
        </w:rPr>
        <w:t>labelled as ‘data-8-drx-0</w:t>
      </w:r>
      <w:r>
        <w:rPr>
          <w:rFonts w:ascii="Arial" w:hAnsi="Arial" w:cs="Arial"/>
          <w:sz w:val="20"/>
          <w:szCs w:val="20"/>
          <w:lang w:val="en-GB" w:eastAsia="ja-JP"/>
        </w:rPr>
        <w:t>’</w:t>
      </w:r>
      <w:r w:rsidRPr="00711A6F">
        <w:rPr>
          <w:rFonts w:ascii="Arial" w:hAnsi="Arial" w:cs="Arial"/>
          <w:sz w:val="20"/>
          <w:szCs w:val="20"/>
          <w:lang w:val="en-GB" w:eastAsia="ja-JP"/>
        </w:rPr>
        <w:t xml:space="preserve"> in the figures</w:t>
      </w:r>
    </w:p>
    <w:p w14:paraId="531C9F08" w14:textId="77777777" w:rsidR="00490DA4" w:rsidRDefault="00490DA4" w:rsidP="00490DA4">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genie case</w:t>
      </w:r>
    </w:p>
    <w:p w14:paraId="0C0DDB23" w14:textId="77777777" w:rsidR="00490DA4" w:rsidRPr="008F6B24" w:rsidRDefault="00490DA4" w:rsidP="00490DA4">
      <w:pPr>
        <w:pStyle w:val="ListParagraph"/>
        <w:numPr>
          <w:ilvl w:val="1"/>
          <w:numId w:val="29"/>
        </w:numPr>
        <w:rPr>
          <w:rFonts w:ascii="Arial" w:hAnsi="Arial" w:cs="Arial"/>
          <w:sz w:val="20"/>
          <w:szCs w:val="20"/>
          <w:lang w:val="en-GB" w:eastAsia="ja-JP"/>
        </w:rPr>
      </w:pPr>
      <w:r w:rsidRPr="00711A6F">
        <w:rPr>
          <w:rFonts w:ascii="Arial" w:hAnsi="Arial" w:cs="Arial"/>
          <w:sz w:val="20"/>
          <w:szCs w:val="20"/>
          <w:lang w:val="en-GB" w:eastAsia="ja-JP"/>
        </w:rPr>
        <w:t>labelled as ‘</w:t>
      </w:r>
      <w:r>
        <w:rPr>
          <w:rFonts w:ascii="Arial" w:hAnsi="Arial" w:cs="Arial"/>
          <w:sz w:val="20"/>
          <w:szCs w:val="20"/>
          <w:lang w:val="en-GB" w:eastAsia="ja-JP"/>
        </w:rPr>
        <w:t>genie’</w:t>
      </w:r>
      <w:r w:rsidRPr="00711A6F">
        <w:rPr>
          <w:rFonts w:ascii="Arial" w:hAnsi="Arial" w:cs="Arial"/>
          <w:sz w:val="20"/>
          <w:szCs w:val="20"/>
          <w:lang w:val="en-GB" w:eastAsia="ja-JP"/>
        </w:rPr>
        <w:t xml:space="preserve"> in the figures</w:t>
      </w:r>
    </w:p>
    <w:p w14:paraId="0A9C9068" w14:textId="77777777" w:rsidR="00490DA4" w:rsidRDefault="00490DA4" w:rsidP="00490DA4"/>
    <w:p w14:paraId="335C8C38" w14:textId="1C0D1244" w:rsidR="00490DA4" w:rsidRDefault="00490DA4" w:rsidP="00490DA4">
      <w:r>
        <w:t>Figure 2.3.2-1a</w:t>
      </w:r>
      <w:r w:rsidR="00D31128">
        <w:t xml:space="preserve"> and</w:t>
      </w:r>
      <w:r>
        <w:t xml:space="preserve"> 2.3.2-1b show CDF</w:t>
      </w:r>
      <w:r w:rsidR="00D31128">
        <w:t>s</w:t>
      </w:r>
      <w:r>
        <w:t xml:space="preserve"> of UE power consumption for medium/high loads (i.e., 5,10 UEs/cell respectively)</w:t>
      </w:r>
    </w:p>
    <w:p w14:paraId="007C2128" w14:textId="77777777" w:rsidR="00490DA4" w:rsidRDefault="00490DA4" w:rsidP="00490DA4">
      <w:pPr>
        <w:rPr>
          <w:noProof/>
        </w:rPr>
      </w:pPr>
      <w:r w:rsidRPr="00823237">
        <w:rPr>
          <w:noProof/>
        </w:rPr>
        <w:drawing>
          <wp:inline distT="0" distB="0" distL="0" distR="0" wp14:anchorId="425A5431" wp14:editId="1E5CACF3">
            <wp:extent cx="2926339" cy="2190307"/>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9911" cy="2207950"/>
                    </a:xfrm>
                    <a:prstGeom prst="rect">
                      <a:avLst/>
                    </a:prstGeom>
                    <a:noFill/>
                    <a:ln>
                      <a:noFill/>
                    </a:ln>
                  </pic:spPr>
                </pic:pic>
              </a:graphicData>
            </a:graphic>
          </wp:inline>
        </w:drawing>
      </w:r>
      <w:r w:rsidRPr="00823237">
        <w:rPr>
          <w:noProof/>
        </w:rPr>
        <w:drawing>
          <wp:inline distT="0" distB="0" distL="0" distR="0" wp14:anchorId="6463B540" wp14:editId="602D4352">
            <wp:extent cx="2883725" cy="215841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2775" cy="2187638"/>
                    </a:xfrm>
                    <a:prstGeom prst="rect">
                      <a:avLst/>
                    </a:prstGeom>
                    <a:noFill/>
                    <a:ln>
                      <a:noFill/>
                    </a:ln>
                  </pic:spPr>
                </pic:pic>
              </a:graphicData>
            </a:graphic>
          </wp:inline>
        </w:drawing>
      </w:r>
    </w:p>
    <w:p w14:paraId="3510A2B8" w14:textId="77777777" w:rsidR="00490DA4" w:rsidRPr="004244EE" w:rsidRDefault="00490DA4" w:rsidP="00490DA4">
      <w:pPr>
        <w:jc w:val="center"/>
        <w:rPr>
          <w:b/>
          <w:lang w:eastAsia="x-none"/>
        </w:rPr>
      </w:pPr>
      <w:r w:rsidRPr="00711A6F">
        <w:rPr>
          <w:b/>
          <w:lang w:val="x-none" w:eastAsia="x-none"/>
        </w:rPr>
        <w:t>Figure</w:t>
      </w:r>
      <w:r>
        <w:rPr>
          <w:b/>
          <w:lang w:eastAsia="x-none"/>
        </w:rPr>
        <w:t>s</w:t>
      </w:r>
      <w:r w:rsidRPr="00711A6F">
        <w:rPr>
          <w:b/>
          <w:lang w:val="x-none" w:eastAsia="x-none"/>
        </w:rPr>
        <w:t xml:space="preserve"> 2.3</w:t>
      </w:r>
      <w:r>
        <w:rPr>
          <w:b/>
          <w:lang w:eastAsia="x-none"/>
        </w:rPr>
        <w:t>.2</w:t>
      </w:r>
      <w:r w:rsidRPr="00711A6F">
        <w:rPr>
          <w:b/>
          <w:lang w:val="x-none" w:eastAsia="x-none"/>
        </w:rPr>
        <w:t>-</w:t>
      </w:r>
      <w:r>
        <w:rPr>
          <w:b/>
          <w:lang w:eastAsia="x-none"/>
        </w:rPr>
        <w:t xml:space="preserve">1a (left), 2.3.2-1b (right) </w:t>
      </w:r>
      <w:r w:rsidRPr="00711A6F">
        <w:rPr>
          <w:b/>
          <w:lang w:val="x-none" w:eastAsia="x-none"/>
        </w:rPr>
        <w:t xml:space="preserve">: XR </w:t>
      </w:r>
      <w:r>
        <w:rPr>
          <w:b/>
          <w:lang w:eastAsia="x-none"/>
        </w:rPr>
        <w:t>Power consumption for different cell loading (DL CG + UL pose)</w:t>
      </w:r>
    </w:p>
    <w:p w14:paraId="5A3F469C" w14:textId="77777777" w:rsidR="00490DA4" w:rsidRDefault="00490DA4" w:rsidP="00490DA4"/>
    <w:p w14:paraId="4884A4E0" w14:textId="77777777" w:rsidR="00490DA4" w:rsidRDefault="00490DA4" w:rsidP="00490DA4">
      <w:r>
        <w:t>Figure 2.3.2-2a, 2.3.2-2b, show the relative fraction of time consumed by the UE in different power consumption states (‘</w:t>
      </w:r>
      <w:proofErr w:type="spellStart"/>
      <w:r>
        <w:t>ulNoTrans</w:t>
      </w:r>
      <w:proofErr w:type="spellEnd"/>
      <w:r>
        <w:t>’ &amp; ‘</w:t>
      </w:r>
      <w:proofErr w:type="spellStart"/>
      <w:r>
        <w:t>dlNoDetect</w:t>
      </w:r>
      <w:proofErr w:type="spellEnd"/>
      <w:r>
        <w:t xml:space="preserve">’ indicate inactive UL or DL slots but the slot may be active in the other direction). Figure 2.3.2-2a shows results for </w:t>
      </w:r>
      <w:r w:rsidRPr="000904DD">
        <w:t>medium load (5UEs/cell) and</w:t>
      </w:r>
      <w:r>
        <w:t xml:space="preserve"> 2.3.2-2b for high load (10UEs/cell)</w:t>
      </w:r>
    </w:p>
    <w:p w14:paraId="23B61193" w14:textId="77777777" w:rsidR="00490DA4" w:rsidRDefault="00490DA4" w:rsidP="00490DA4"/>
    <w:p w14:paraId="1ACCF2F8" w14:textId="77777777" w:rsidR="00490DA4" w:rsidRDefault="00490DA4" w:rsidP="00490DA4">
      <w:r w:rsidRPr="00823237">
        <w:rPr>
          <w:noProof/>
        </w:rPr>
        <w:drawing>
          <wp:inline distT="0" distB="0" distL="0" distR="0" wp14:anchorId="437C9048" wp14:editId="1CB7FECA">
            <wp:extent cx="2780281" cy="208098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5336" cy="2122192"/>
                    </a:xfrm>
                    <a:prstGeom prst="rect">
                      <a:avLst/>
                    </a:prstGeom>
                    <a:noFill/>
                    <a:ln>
                      <a:noFill/>
                    </a:ln>
                  </pic:spPr>
                </pic:pic>
              </a:graphicData>
            </a:graphic>
          </wp:inline>
        </w:drawing>
      </w:r>
      <w:r w:rsidRPr="003536FF">
        <w:rPr>
          <w:noProof/>
        </w:rPr>
        <w:drawing>
          <wp:inline distT="0" distB="0" distL="0" distR="0" wp14:anchorId="59B63CAF" wp14:editId="3F42F358">
            <wp:extent cx="2769911" cy="207322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4403" cy="2106525"/>
                    </a:xfrm>
                    <a:prstGeom prst="rect">
                      <a:avLst/>
                    </a:prstGeom>
                    <a:noFill/>
                    <a:ln>
                      <a:noFill/>
                    </a:ln>
                  </pic:spPr>
                </pic:pic>
              </a:graphicData>
            </a:graphic>
          </wp:inline>
        </w:drawing>
      </w:r>
    </w:p>
    <w:p w14:paraId="4391E145" w14:textId="77777777" w:rsidR="00490DA4" w:rsidRPr="004244EE" w:rsidRDefault="00490DA4" w:rsidP="00490DA4">
      <w:pPr>
        <w:jc w:val="center"/>
        <w:rPr>
          <w:b/>
          <w:lang w:eastAsia="x-none"/>
        </w:rPr>
      </w:pPr>
      <w:r w:rsidRPr="00711A6F">
        <w:rPr>
          <w:b/>
          <w:lang w:val="x-none" w:eastAsia="x-none"/>
        </w:rPr>
        <w:t>Figure</w:t>
      </w:r>
      <w:r>
        <w:rPr>
          <w:b/>
          <w:lang w:eastAsia="x-none"/>
        </w:rPr>
        <w:t>s</w:t>
      </w:r>
      <w:r w:rsidRPr="00711A6F">
        <w:rPr>
          <w:b/>
          <w:lang w:val="x-none" w:eastAsia="x-none"/>
        </w:rPr>
        <w:t xml:space="preserve"> 2.3</w:t>
      </w:r>
      <w:r>
        <w:rPr>
          <w:b/>
          <w:lang w:eastAsia="x-none"/>
        </w:rPr>
        <w:t>.2</w:t>
      </w:r>
      <w:r w:rsidRPr="00711A6F">
        <w:rPr>
          <w:b/>
          <w:lang w:val="x-none" w:eastAsia="x-none"/>
        </w:rPr>
        <w:t>-</w:t>
      </w:r>
      <w:r>
        <w:rPr>
          <w:b/>
          <w:lang w:eastAsia="x-none"/>
        </w:rPr>
        <w:t xml:space="preserve">2a (left), 2.3.2-2b (right) </w:t>
      </w:r>
      <w:r w:rsidRPr="00711A6F">
        <w:rPr>
          <w:b/>
          <w:lang w:val="x-none" w:eastAsia="x-none"/>
        </w:rPr>
        <w:t xml:space="preserve">: </w:t>
      </w:r>
      <w:r w:rsidRPr="004244EE">
        <w:rPr>
          <w:b/>
          <w:lang w:eastAsia="x-none"/>
        </w:rPr>
        <w:t>Relative time fraction of different UE power consumption states</w:t>
      </w:r>
      <w:r>
        <w:rPr>
          <w:b/>
          <w:lang w:eastAsia="x-none"/>
        </w:rPr>
        <w:t xml:space="preserve"> (DL CG + UL pose)</w:t>
      </w:r>
    </w:p>
    <w:p w14:paraId="4E7BF15A" w14:textId="77777777" w:rsidR="00490DA4" w:rsidRDefault="00490DA4" w:rsidP="00490DA4">
      <w:r>
        <w:t>Figure 2.3.2-3a, 2.3.2-3b, show the relative energy fraction of energy consumed by the UE in different power consumption states (‘</w:t>
      </w:r>
      <w:proofErr w:type="spellStart"/>
      <w:r>
        <w:t>ulNoTrans</w:t>
      </w:r>
      <w:proofErr w:type="spellEnd"/>
      <w:r>
        <w:t>’ &amp; ‘</w:t>
      </w:r>
      <w:proofErr w:type="spellStart"/>
      <w:r>
        <w:t>dlNoDetect</w:t>
      </w:r>
      <w:proofErr w:type="spellEnd"/>
      <w:r>
        <w:t xml:space="preserve">’ indicate inactive UL or DL slots but the slot may be active in </w:t>
      </w:r>
      <w:r>
        <w:lastRenderedPageBreak/>
        <w:t xml:space="preserve">the other direction). Figure 2.3.2-3a shows results for </w:t>
      </w:r>
      <w:r w:rsidRPr="000904DD">
        <w:t>medium load (5UEs/cell) and</w:t>
      </w:r>
      <w:r>
        <w:t xml:space="preserve"> 2.3.2-3b for high load (10UEs/cell)</w:t>
      </w:r>
    </w:p>
    <w:p w14:paraId="03E6E902" w14:textId="1BCDAE16" w:rsidR="00490DA4" w:rsidRDefault="00490DA4" w:rsidP="00490DA4">
      <w:r w:rsidRPr="00812783">
        <w:rPr>
          <w:noProof/>
        </w:rPr>
        <w:drawing>
          <wp:inline distT="0" distB="0" distL="0" distR="0" wp14:anchorId="067E54C8" wp14:editId="37874005">
            <wp:extent cx="2770019" cy="2073304"/>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16021" cy="2107736"/>
                    </a:xfrm>
                    <a:prstGeom prst="rect">
                      <a:avLst/>
                    </a:prstGeom>
                    <a:noFill/>
                    <a:ln>
                      <a:noFill/>
                    </a:ln>
                  </pic:spPr>
                </pic:pic>
              </a:graphicData>
            </a:graphic>
          </wp:inline>
        </w:drawing>
      </w:r>
      <w:r w:rsidR="001262C9" w:rsidRPr="001262C9">
        <w:rPr>
          <w:noProof/>
        </w:rPr>
        <w:drawing>
          <wp:inline distT="0" distB="0" distL="0" distR="0" wp14:anchorId="2B891A73" wp14:editId="4B1A01E4">
            <wp:extent cx="2700670" cy="20213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31462" cy="2044445"/>
                    </a:xfrm>
                    <a:prstGeom prst="rect">
                      <a:avLst/>
                    </a:prstGeom>
                    <a:noFill/>
                    <a:ln>
                      <a:noFill/>
                    </a:ln>
                  </pic:spPr>
                </pic:pic>
              </a:graphicData>
            </a:graphic>
          </wp:inline>
        </w:drawing>
      </w:r>
    </w:p>
    <w:p w14:paraId="4C85A700" w14:textId="77777777" w:rsidR="00490DA4" w:rsidRPr="00711A6F" w:rsidRDefault="00490DA4" w:rsidP="00490DA4">
      <w:pPr>
        <w:jc w:val="center"/>
        <w:rPr>
          <w:b/>
          <w:lang w:eastAsia="x-none"/>
        </w:rPr>
      </w:pPr>
      <w:r w:rsidRPr="00711A6F">
        <w:rPr>
          <w:b/>
          <w:lang w:val="x-none" w:eastAsia="x-none"/>
        </w:rPr>
        <w:t>Figure</w:t>
      </w:r>
      <w:r>
        <w:rPr>
          <w:b/>
          <w:lang w:eastAsia="x-none"/>
        </w:rPr>
        <w:t>s</w:t>
      </w:r>
      <w:r w:rsidRPr="00711A6F">
        <w:rPr>
          <w:b/>
          <w:lang w:val="x-none" w:eastAsia="x-none"/>
        </w:rPr>
        <w:t xml:space="preserve"> 2.3</w:t>
      </w:r>
      <w:r>
        <w:rPr>
          <w:b/>
          <w:lang w:eastAsia="x-none"/>
        </w:rPr>
        <w:t>.2</w:t>
      </w:r>
      <w:r w:rsidRPr="00711A6F">
        <w:rPr>
          <w:b/>
          <w:lang w:val="x-none" w:eastAsia="x-none"/>
        </w:rPr>
        <w:t>-</w:t>
      </w:r>
      <w:r>
        <w:rPr>
          <w:b/>
          <w:lang w:eastAsia="x-none"/>
        </w:rPr>
        <w:t xml:space="preserve">3a (left), 2.3.2-3b (right) </w:t>
      </w:r>
      <w:r w:rsidRPr="00711A6F">
        <w:rPr>
          <w:b/>
          <w:lang w:val="x-none" w:eastAsia="x-none"/>
        </w:rPr>
        <w:t xml:space="preserve">: </w:t>
      </w:r>
      <w:r w:rsidRPr="00711A6F">
        <w:rPr>
          <w:b/>
          <w:lang w:eastAsia="x-none"/>
        </w:rPr>
        <w:t xml:space="preserve">Relative </w:t>
      </w:r>
      <w:r>
        <w:rPr>
          <w:b/>
          <w:lang w:eastAsia="x-none"/>
        </w:rPr>
        <w:t>energy</w:t>
      </w:r>
      <w:r w:rsidRPr="00711A6F">
        <w:rPr>
          <w:b/>
          <w:lang w:eastAsia="x-none"/>
        </w:rPr>
        <w:t xml:space="preserve"> fraction of different UE power consumption states</w:t>
      </w:r>
      <w:r>
        <w:rPr>
          <w:b/>
          <w:lang w:eastAsia="x-none"/>
        </w:rPr>
        <w:t xml:space="preserve"> (DL CG + UL pose)</w:t>
      </w:r>
    </w:p>
    <w:p w14:paraId="3E648A76" w14:textId="77777777" w:rsidR="00490DA4" w:rsidRDefault="00490DA4" w:rsidP="00490DA4"/>
    <w:p w14:paraId="32209414" w14:textId="77777777" w:rsidR="00490DA4" w:rsidRDefault="00490DA4" w:rsidP="00490DA4">
      <w:r>
        <w:t>Table 2.3-2-1 below shows XR UE power savings for genie case compared to baseline no DRX</w:t>
      </w:r>
    </w:p>
    <w:p w14:paraId="26DD9A7C" w14:textId="77777777" w:rsidR="00490DA4" w:rsidRPr="005925A8" w:rsidRDefault="00490DA4" w:rsidP="00490DA4">
      <w:pPr>
        <w:jc w:val="center"/>
        <w:rPr>
          <w:b/>
          <w:lang w:eastAsia="x-none"/>
        </w:rPr>
      </w:pPr>
      <w:r>
        <w:rPr>
          <w:b/>
          <w:lang w:eastAsia="x-none"/>
        </w:rPr>
        <w:t xml:space="preserve">Table 2.3.2-1: </w:t>
      </w:r>
      <w:r w:rsidRPr="005925A8">
        <w:rPr>
          <w:b/>
          <w:lang w:eastAsia="x-none"/>
        </w:rPr>
        <w:t xml:space="preserve">XR UE power savings </w:t>
      </w:r>
      <w:r>
        <w:rPr>
          <w:b/>
          <w:lang w:eastAsia="x-none"/>
        </w:rPr>
        <w:t>(DL CG + UL pose)</w:t>
      </w:r>
    </w:p>
    <w:tbl>
      <w:tblPr>
        <w:tblStyle w:val="TableGrid"/>
        <w:tblW w:w="9640" w:type="dxa"/>
        <w:tblLook w:val="04A0" w:firstRow="1" w:lastRow="0" w:firstColumn="1" w:lastColumn="0" w:noHBand="0" w:noVBand="1"/>
      </w:tblPr>
      <w:tblGrid>
        <w:gridCol w:w="2005"/>
        <w:gridCol w:w="2042"/>
        <w:gridCol w:w="2051"/>
        <w:gridCol w:w="1907"/>
        <w:gridCol w:w="1635"/>
      </w:tblGrid>
      <w:tr w:rsidR="00490DA4" w14:paraId="6DF81E38" w14:textId="77777777" w:rsidTr="00E2217B">
        <w:tc>
          <w:tcPr>
            <w:tcW w:w="2005" w:type="dxa"/>
          </w:tcPr>
          <w:p w14:paraId="1E7C4B02" w14:textId="77777777" w:rsidR="00490DA4" w:rsidRPr="00F95AD8" w:rsidRDefault="00490DA4" w:rsidP="00E2217B">
            <w:pPr>
              <w:rPr>
                <w:sz w:val="20"/>
                <w:szCs w:val="20"/>
              </w:rPr>
            </w:pPr>
            <w:r w:rsidRPr="00F95AD8">
              <w:rPr>
                <w:rFonts w:cs="Arial"/>
                <w:b/>
                <w:bCs/>
                <w:sz w:val="20"/>
                <w:szCs w:val="20"/>
              </w:rPr>
              <w:t>DRX configuration</w:t>
            </w:r>
            <w:r w:rsidRPr="00F95AD8">
              <w:rPr>
                <w:rFonts w:cs="Arial"/>
                <w:b/>
                <w:bCs/>
                <w:sz w:val="20"/>
                <w:szCs w:val="20"/>
              </w:rPr>
              <w:br/>
            </w:r>
          </w:p>
        </w:tc>
        <w:tc>
          <w:tcPr>
            <w:tcW w:w="2042" w:type="dxa"/>
          </w:tcPr>
          <w:p w14:paraId="21565BE7" w14:textId="77777777" w:rsidR="00490DA4" w:rsidRPr="00F95AD8" w:rsidRDefault="00490DA4" w:rsidP="00E2217B">
            <w:pPr>
              <w:spacing w:after="0" w:line="240" w:lineRule="auto"/>
              <w:rPr>
                <w:rFonts w:ascii="Segoe UI" w:eastAsia="Times New Roman" w:hAnsi="Segoe UI" w:cs="Segoe UI"/>
                <w:sz w:val="20"/>
                <w:szCs w:val="20"/>
              </w:rPr>
            </w:pPr>
            <w:r w:rsidRPr="00F95AD8">
              <w:rPr>
                <w:rFonts w:eastAsia="Times New Roman" w:cs="Arial"/>
                <w:b/>
                <w:bCs/>
                <w:sz w:val="20"/>
                <w:szCs w:val="20"/>
              </w:rPr>
              <w:t>Mean PS gain compared to baseline (%)</w:t>
            </w:r>
          </w:p>
        </w:tc>
        <w:tc>
          <w:tcPr>
            <w:tcW w:w="2051" w:type="dxa"/>
          </w:tcPr>
          <w:p w14:paraId="09106E09" w14:textId="77777777" w:rsidR="00490DA4" w:rsidRPr="00F95AD8" w:rsidRDefault="00490DA4" w:rsidP="00E2217B">
            <w:pPr>
              <w:jc w:val="center"/>
              <w:rPr>
                <w:rFonts w:cs="Arial"/>
                <w:b/>
                <w:bCs/>
                <w:sz w:val="20"/>
                <w:szCs w:val="20"/>
              </w:rPr>
            </w:pPr>
            <w:r w:rsidRPr="00F95AD8">
              <w:rPr>
                <w:rFonts w:cs="Arial"/>
                <w:b/>
                <w:bCs/>
                <w:sz w:val="20"/>
                <w:szCs w:val="20"/>
              </w:rPr>
              <w:t>95%-tile PS gain</w:t>
            </w:r>
          </w:p>
          <w:p w14:paraId="5659FCD3" w14:textId="77777777" w:rsidR="00490DA4" w:rsidRPr="00F95AD8" w:rsidRDefault="00490DA4" w:rsidP="00E2217B">
            <w:pPr>
              <w:rPr>
                <w:sz w:val="20"/>
                <w:szCs w:val="20"/>
              </w:rPr>
            </w:pPr>
            <w:r w:rsidRPr="00F95AD8">
              <w:rPr>
                <w:rFonts w:cs="Arial"/>
                <w:b/>
                <w:bCs/>
                <w:sz w:val="20"/>
                <w:szCs w:val="20"/>
              </w:rPr>
              <w:t>(highest Energy)</w:t>
            </w:r>
          </w:p>
        </w:tc>
        <w:tc>
          <w:tcPr>
            <w:tcW w:w="1907" w:type="dxa"/>
          </w:tcPr>
          <w:p w14:paraId="55451546" w14:textId="77777777" w:rsidR="00490DA4" w:rsidRPr="00F95AD8" w:rsidRDefault="00490DA4" w:rsidP="00E2217B">
            <w:pPr>
              <w:jc w:val="center"/>
              <w:rPr>
                <w:rFonts w:cs="Arial"/>
                <w:b/>
                <w:bCs/>
                <w:sz w:val="20"/>
                <w:szCs w:val="20"/>
              </w:rPr>
            </w:pPr>
            <w:r w:rsidRPr="00F95AD8">
              <w:rPr>
                <w:rFonts w:cs="Arial"/>
                <w:b/>
                <w:bCs/>
                <w:sz w:val="20"/>
                <w:szCs w:val="20"/>
              </w:rPr>
              <w:t>5%-tile PS gain</w:t>
            </w:r>
          </w:p>
          <w:p w14:paraId="564E0A7A" w14:textId="77777777" w:rsidR="00490DA4" w:rsidRPr="00F95AD8" w:rsidRDefault="00490DA4" w:rsidP="00E2217B">
            <w:pPr>
              <w:rPr>
                <w:sz w:val="20"/>
                <w:szCs w:val="20"/>
              </w:rPr>
            </w:pPr>
            <w:r w:rsidRPr="00F95AD8">
              <w:rPr>
                <w:rFonts w:cs="Arial"/>
                <w:b/>
                <w:bCs/>
                <w:sz w:val="20"/>
                <w:szCs w:val="20"/>
              </w:rPr>
              <w:t>(lowest Energy)</w:t>
            </w:r>
          </w:p>
        </w:tc>
        <w:tc>
          <w:tcPr>
            <w:tcW w:w="1635" w:type="dxa"/>
          </w:tcPr>
          <w:p w14:paraId="0AF4C151" w14:textId="77777777" w:rsidR="00490DA4" w:rsidRPr="00F95AD8" w:rsidRDefault="00490DA4" w:rsidP="00E2217B">
            <w:pPr>
              <w:spacing w:after="0" w:line="240" w:lineRule="auto"/>
              <w:jc w:val="center"/>
              <w:rPr>
                <w:rFonts w:eastAsia="Times New Roman" w:cs="Arial"/>
                <w:b/>
                <w:bCs/>
                <w:sz w:val="20"/>
                <w:szCs w:val="20"/>
              </w:rPr>
            </w:pPr>
            <w:r w:rsidRPr="00F95AD8">
              <w:rPr>
                <w:rFonts w:eastAsia="Times New Roman" w:cs="Arial"/>
                <w:b/>
                <w:bCs/>
                <w:sz w:val="20"/>
                <w:szCs w:val="20"/>
              </w:rPr>
              <w:t>%satisfied UEs</w:t>
            </w:r>
            <w:r w:rsidRPr="00F95AD8">
              <w:rPr>
                <w:rFonts w:eastAsia="Times New Roman" w:cs="Arial"/>
                <w:b/>
                <w:bCs/>
                <w:sz w:val="20"/>
                <w:szCs w:val="20"/>
              </w:rPr>
              <w:br/>
              <w:t>(10UEs/cell)</w:t>
            </w:r>
          </w:p>
          <w:p w14:paraId="6AA8EF7A" w14:textId="77777777" w:rsidR="00490DA4" w:rsidRPr="00F95AD8" w:rsidRDefault="00490DA4" w:rsidP="00E2217B">
            <w:pPr>
              <w:rPr>
                <w:sz w:val="20"/>
                <w:szCs w:val="20"/>
              </w:rPr>
            </w:pPr>
          </w:p>
        </w:tc>
      </w:tr>
      <w:tr w:rsidR="00490DA4" w14:paraId="73A7C4ED" w14:textId="77777777" w:rsidTr="00E2217B">
        <w:tc>
          <w:tcPr>
            <w:tcW w:w="2005" w:type="dxa"/>
          </w:tcPr>
          <w:p w14:paraId="62AC30B2"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No DRX baseline</w:t>
            </w:r>
          </w:p>
        </w:tc>
        <w:tc>
          <w:tcPr>
            <w:tcW w:w="2042" w:type="dxa"/>
          </w:tcPr>
          <w:p w14:paraId="02D4FB4D"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N/A</w:t>
            </w:r>
          </w:p>
        </w:tc>
        <w:tc>
          <w:tcPr>
            <w:tcW w:w="2051" w:type="dxa"/>
          </w:tcPr>
          <w:p w14:paraId="3FB97C42"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N/A</w:t>
            </w:r>
          </w:p>
        </w:tc>
        <w:tc>
          <w:tcPr>
            <w:tcW w:w="1907" w:type="dxa"/>
          </w:tcPr>
          <w:p w14:paraId="49E0CE2A"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N/A</w:t>
            </w:r>
          </w:p>
        </w:tc>
        <w:tc>
          <w:tcPr>
            <w:tcW w:w="1635" w:type="dxa"/>
          </w:tcPr>
          <w:p w14:paraId="5051F819"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96%</w:t>
            </w:r>
          </w:p>
        </w:tc>
      </w:tr>
      <w:tr w:rsidR="00490DA4" w14:paraId="16D72FC6" w14:textId="77777777" w:rsidTr="00E2217B">
        <w:tc>
          <w:tcPr>
            <w:tcW w:w="2005" w:type="dxa"/>
          </w:tcPr>
          <w:p w14:paraId="063A9CE1"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genie</w:t>
            </w:r>
          </w:p>
        </w:tc>
        <w:tc>
          <w:tcPr>
            <w:tcW w:w="2042" w:type="dxa"/>
          </w:tcPr>
          <w:p w14:paraId="11A1230E"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18%</w:t>
            </w:r>
          </w:p>
        </w:tc>
        <w:tc>
          <w:tcPr>
            <w:tcW w:w="2051" w:type="dxa"/>
          </w:tcPr>
          <w:p w14:paraId="6DCA9637"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12%</w:t>
            </w:r>
          </w:p>
        </w:tc>
        <w:tc>
          <w:tcPr>
            <w:tcW w:w="1907" w:type="dxa"/>
          </w:tcPr>
          <w:p w14:paraId="0FF1BCC9"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23%</w:t>
            </w:r>
          </w:p>
        </w:tc>
        <w:tc>
          <w:tcPr>
            <w:tcW w:w="1635" w:type="dxa"/>
          </w:tcPr>
          <w:p w14:paraId="47E427C9" w14:textId="77777777" w:rsidR="00490DA4" w:rsidRPr="00F95AD8" w:rsidRDefault="00490DA4" w:rsidP="00E2217B">
            <w:pPr>
              <w:jc w:val="center"/>
              <w:rPr>
                <w:rFonts w:ascii="Times New Roman" w:hAnsi="Times New Roman" w:cs="Times New Roman"/>
                <w:sz w:val="20"/>
                <w:szCs w:val="20"/>
              </w:rPr>
            </w:pPr>
            <w:r w:rsidRPr="00F95AD8">
              <w:rPr>
                <w:rFonts w:ascii="Times New Roman" w:hAnsi="Times New Roman" w:cs="Times New Roman"/>
                <w:sz w:val="20"/>
                <w:szCs w:val="20"/>
              </w:rPr>
              <w:t>N/A</w:t>
            </w:r>
          </w:p>
        </w:tc>
      </w:tr>
    </w:tbl>
    <w:p w14:paraId="3B406327" w14:textId="77777777" w:rsidR="006D0432" w:rsidRDefault="006D0432" w:rsidP="24481EA0"/>
    <w:p w14:paraId="2177A980" w14:textId="77777777" w:rsidR="00E91EB0" w:rsidRDefault="00E91EB0" w:rsidP="00E91EB0">
      <w:r>
        <w:t xml:space="preserve">We make the following preliminary observations from the initial evaluations. </w:t>
      </w:r>
    </w:p>
    <w:p w14:paraId="06AE5D15" w14:textId="1A084841" w:rsidR="00E91EB0" w:rsidRPr="00D31128" w:rsidRDefault="00E91EB0" w:rsidP="00E91EB0">
      <w:pPr>
        <w:pStyle w:val="ListParagraph"/>
        <w:numPr>
          <w:ilvl w:val="0"/>
          <w:numId w:val="30"/>
        </w:numPr>
        <w:rPr>
          <w:rFonts w:ascii="Arial" w:hAnsi="Arial" w:cs="Arial"/>
          <w:sz w:val="20"/>
          <w:szCs w:val="20"/>
        </w:rPr>
      </w:pPr>
      <w:r w:rsidRPr="00D31128">
        <w:rPr>
          <w:rFonts w:ascii="Arial" w:hAnsi="Arial" w:cs="Arial"/>
          <w:sz w:val="20"/>
          <w:szCs w:val="20"/>
          <w:lang w:val="en-US"/>
        </w:rPr>
        <w:t xml:space="preserve">When DL XR traffic is considered without taking into account </w:t>
      </w:r>
      <w:r w:rsidR="00D31128">
        <w:rPr>
          <w:rFonts w:ascii="Arial" w:hAnsi="Arial" w:cs="Arial"/>
          <w:sz w:val="20"/>
          <w:szCs w:val="20"/>
          <w:lang w:val="en-US"/>
        </w:rPr>
        <w:t xml:space="preserve">the </w:t>
      </w:r>
      <w:r w:rsidRPr="00D31128">
        <w:rPr>
          <w:rFonts w:ascii="Arial" w:hAnsi="Arial" w:cs="Arial"/>
          <w:sz w:val="20"/>
          <w:szCs w:val="20"/>
          <w:lang w:val="en-US"/>
        </w:rPr>
        <w:t xml:space="preserve">PUSCH impact </w:t>
      </w:r>
    </w:p>
    <w:p w14:paraId="6A35B057" w14:textId="77777777" w:rsidR="00E91EB0" w:rsidRPr="00D31128" w:rsidRDefault="00E91EB0" w:rsidP="00E91EB0">
      <w:pPr>
        <w:pStyle w:val="ListParagraph"/>
        <w:numPr>
          <w:ilvl w:val="1"/>
          <w:numId w:val="30"/>
        </w:numPr>
        <w:rPr>
          <w:rFonts w:ascii="Arial" w:hAnsi="Arial" w:cs="Arial"/>
          <w:sz w:val="20"/>
          <w:szCs w:val="20"/>
        </w:rPr>
      </w:pPr>
      <w:r w:rsidRPr="00D31128">
        <w:rPr>
          <w:rFonts w:ascii="Arial" w:hAnsi="Arial" w:cs="Arial"/>
          <w:sz w:val="20"/>
          <w:szCs w:val="20"/>
          <w:lang w:val="en-US"/>
        </w:rPr>
        <w:t>contribution of “PDCCH monitoring” (i.e., PDCCH monitoring without scheduled data) to overall UE power consumption is larger (e.g. as shown in Figures 2.3.1-4a/4b)</w:t>
      </w:r>
    </w:p>
    <w:p w14:paraId="28BADEE9" w14:textId="1AFED027" w:rsidR="00E91EB0" w:rsidRPr="00D31128" w:rsidRDefault="00E91EB0" w:rsidP="00E91EB0">
      <w:pPr>
        <w:pStyle w:val="ListParagraph"/>
        <w:numPr>
          <w:ilvl w:val="1"/>
          <w:numId w:val="30"/>
        </w:numPr>
        <w:rPr>
          <w:rFonts w:ascii="Arial" w:hAnsi="Arial" w:cs="Arial"/>
          <w:sz w:val="20"/>
          <w:szCs w:val="20"/>
        </w:rPr>
      </w:pPr>
      <w:r w:rsidRPr="00D31128">
        <w:rPr>
          <w:rFonts w:ascii="Arial" w:hAnsi="Arial" w:cs="Arial"/>
          <w:sz w:val="20"/>
          <w:szCs w:val="20"/>
          <w:lang w:val="en-US"/>
        </w:rPr>
        <w:t xml:space="preserve">Results show that </w:t>
      </w:r>
      <w:r w:rsidR="002468FB" w:rsidRPr="00D31128">
        <w:rPr>
          <w:rFonts w:ascii="Arial" w:hAnsi="Arial" w:cs="Arial"/>
          <w:sz w:val="20"/>
          <w:szCs w:val="20"/>
          <w:lang w:val="en-US"/>
        </w:rPr>
        <w:t xml:space="preserve">at least for the evaluated cases, </w:t>
      </w:r>
      <w:r w:rsidRPr="00D31128">
        <w:rPr>
          <w:rFonts w:ascii="Arial" w:hAnsi="Arial" w:cs="Arial"/>
          <w:sz w:val="20"/>
          <w:szCs w:val="20"/>
          <w:lang w:val="en-US"/>
        </w:rPr>
        <w:t xml:space="preserve">appropriate Rel15 </w:t>
      </w:r>
      <w:r w:rsidR="00B17BC2" w:rsidRPr="00D31128">
        <w:rPr>
          <w:rFonts w:ascii="Arial" w:hAnsi="Arial" w:cs="Arial"/>
          <w:sz w:val="20"/>
          <w:szCs w:val="20"/>
          <w:lang w:val="en-US"/>
        </w:rPr>
        <w:t xml:space="preserve">long </w:t>
      </w:r>
      <w:r w:rsidRPr="00D31128">
        <w:rPr>
          <w:rFonts w:ascii="Arial" w:hAnsi="Arial" w:cs="Arial"/>
          <w:sz w:val="20"/>
          <w:szCs w:val="20"/>
          <w:lang w:val="en-US"/>
        </w:rPr>
        <w:t xml:space="preserve">DRX settings </w:t>
      </w:r>
      <w:r w:rsidR="001430E9" w:rsidRPr="00D31128">
        <w:rPr>
          <w:rFonts w:ascii="Arial" w:hAnsi="Arial" w:cs="Arial"/>
          <w:sz w:val="20"/>
          <w:szCs w:val="20"/>
          <w:lang w:val="en-US"/>
        </w:rPr>
        <w:t xml:space="preserve">can </w:t>
      </w:r>
      <w:r w:rsidR="00B17BC2" w:rsidRPr="00D31128">
        <w:rPr>
          <w:rFonts w:ascii="Arial" w:hAnsi="Arial" w:cs="Arial"/>
          <w:sz w:val="20"/>
          <w:szCs w:val="20"/>
          <w:lang w:val="en-US"/>
        </w:rPr>
        <w:t xml:space="preserve">achieve </w:t>
      </w:r>
      <w:r w:rsidRPr="00D31128">
        <w:rPr>
          <w:rFonts w:ascii="Arial" w:hAnsi="Arial" w:cs="Arial"/>
          <w:sz w:val="20"/>
          <w:szCs w:val="20"/>
          <w:lang w:val="en-US"/>
        </w:rPr>
        <w:t>some UE power savings gain without impacting XR user satisfaction (</w:t>
      </w:r>
      <w:proofErr w:type="spellStart"/>
      <w:r w:rsidRPr="00D31128">
        <w:rPr>
          <w:rFonts w:ascii="Arial" w:hAnsi="Arial" w:cs="Arial"/>
          <w:sz w:val="20"/>
          <w:szCs w:val="20"/>
          <w:lang w:val="en-US"/>
        </w:rPr>
        <w:t>e.g</w:t>
      </w:r>
      <w:proofErr w:type="spellEnd"/>
      <w:r w:rsidRPr="00D31128">
        <w:rPr>
          <w:rFonts w:ascii="Arial" w:hAnsi="Arial" w:cs="Arial"/>
          <w:sz w:val="20"/>
          <w:szCs w:val="20"/>
          <w:lang w:val="en-US"/>
        </w:rPr>
        <w:t xml:space="preserve"> ~9-12% as shown in Table 2.3.1-1)</w:t>
      </w:r>
    </w:p>
    <w:p w14:paraId="24065A4D" w14:textId="77777777" w:rsidR="00E91EB0" w:rsidRPr="00D31128" w:rsidRDefault="00E91EB0" w:rsidP="00E91EB0">
      <w:pPr>
        <w:pStyle w:val="ListParagraph"/>
        <w:numPr>
          <w:ilvl w:val="0"/>
          <w:numId w:val="30"/>
        </w:numPr>
        <w:rPr>
          <w:rFonts w:ascii="Arial" w:hAnsi="Arial" w:cs="Arial"/>
          <w:sz w:val="20"/>
          <w:szCs w:val="20"/>
        </w:rPr>
      </w:pPr>
      <w:r w:rsidRPr="00D31128">
        <w:rPr>
          <w:rFonts w:ascii="Arial" w:hAnsi="Arial" w:cs="Arial"/>
          <w:sz w:val="20"/>
          <w:szCs w:val="20"/>
          <w:lang w:val="en-US"/>
        </w:rPr>
        <w:t>When both DL and UL PUSCH XR traffic is considered</w:t>
      </w:r>
    </w:p>
    <w:p w14:paraId="22C304A8" w14:textId="77777777" w:rsidR="00E91EB0" w:rsidRPr="00D31128" w:rsidRDefault="00E91EB0" w:rsidP="00E91EB0">
      <w:pPr>
        <w:pStyle w:val="ListParagraph"/>
        <w:numPr>
          <w:ilvl w:val="1"/>
          <w:numId w:val="30"/>
        </w:numPr>
        <w:rPr>
          <w:rFonts w:ascii="Arial" w:hAnsi="Arial" w:cs="Arial"/>
          <w:sz w:val="20"/>
          <w:szCs w:val="20"/>
        </w:rPr>
      </w:pPr>
      <w:r w:rsidRPr="00D31128">
        <w:rPr>
          <w:rFonts w:ascii="Arial" w:hAnsi="Arial" w:cs="Arial"/>
          <w:sz w:val="20"/>
          <w:szCs w:val="20"/>
          <w:lang w:val="en-US"/>
        </w:rPr>
        <w:t>PUSCH transmissions contribute a significant fraction to overall UE power consumption (e.g. as shown in Figures 2.3.2-3a/3b)</w:t>
      </w:r>
    </w:p>
    <w:p w14:paraId="3F8B408D" w14:textId="79F7D721" w:rsidR="006D0432" w:rsidRPr="00D31128" w:rsidRDefault="00970B61" w:rsidP="24481EA0">
      <w:pPr>
        <w:pStyle w:val="ListParagraph"/>
        <w:numPr>
          <w:ilvl w:val="1"/>
          <w:numId w:val="30"/>
        </w:numPr>
        <w:rPr>
          <w:rFonts w:ascii="Arial" w:hAnsi="Arial" w:cs="Arial"/>
          <w:sz w:val="20"/>
          <w:szCs w:val="20"/>
        </w:rPr>
      </w:pPr>
      <w:r w:rsidRPr="00D31128">
        <w:rPr>
          <w:rFonts w:ascii="Arial" w:hAnsi="Arial" w:cs="Arial"/>
          <w:sz w:val="20"/>
          <w:szCs w:val="20"/>
          <w:lang w:val="en-US"/>
        </w:rPr>
        <w:t>Even with relatively low XR DL data rate of 8Mbps, t</w:t>
      </w:r>
      <w:r w:rsidR="00E91EB0" w:rsidRPr="00D31128">
        <w:rPr>
          <w:rFonts w:ascii="Arial" w:hAnsi="Arial" w:cs="Arial"/>
          <w:sz w:val="20"/>
          <w:szCs w:val="20"/>
          <w:lang w:val="en-US"/>
        </w:rPr>
        <w:t xml:space="preserve">he achievable power savings is much reduced (e.g. idealistic genie assumptions show only 18% avg power savings potential compared to </w:t>
      </w:r>
      <w:r w:rsidR="004F1553" w:rsidRPr="00D31128">
        <w:rPr>
          <w:rFonts w:ascii="Arial" w:hAnsi="Arial" w:cs="Arial"/>
          <w:sz w:val="20"/>
          <w:szCs w:val="20"/>
          <w:lang w:val="en-US"/>
        </w:rPr>
        <w:t>baseline</w:t>
      </w:r>
      <w:r w:rsidR="00D74CDC" w:rsidRPr="00D31128">
        <w:rPr>
          <w:rFonts w:ascii="Arial" w:hAnsi="Arial" w:cs="Arial"/>
          <w:sz w:val="20"/>
          <w:szCs w:val="20"/>
          <w:lang w:val="en-US"/>
        </w:rPr>
        <w:t xml:space="preserve"> as shown in Table 2.3.2-1</w:t>
      </w:r>
      <w:r w:rsidR="00E91EB0" w:rsidRPr="00D31128">
        <w:rPr>
          <w:rFonts w:ascii="Arial" w:hAnsi="Arial" w:cs="Arial"/>
          <w:sz w:val="20"/>
          <w:szCs w:val="20"/>
          <w:lang w:val="en-US"/>
        </w:rPr>
        <w:t>)</w:t>
      </w:r>
    </w:p>
    <w:p w14:paraId="71D79D99" w14:textId="77777777" w:rsidR="00F507D1" w:rsidRPr="00CE0424" w:rsidRDefault="00F507D1" w:rsidP="00CE0424">
      <w:pPr>
        <w:pStyle w:val="Heading1"/>
      </w:pPr>
      <w:bookmarkStart w:id="7" w:name="_In-sequence_SDU_delivery"/>
      <w:bookmarkEnd w:id="7"/>
      <w:r w:rsidRPr="00CE0424">
        <w:t>References</w:t>
      </w:r>
    </w:p>
    <w:p w14:paraId="0B572F67" w14:textId="573B55E5" w:rsidR="005F27B9" w:rsidRPr="00637F6A" w:rsidRDefault="005F27B9" w:rsidP="00311702">
      <w:pPr>
        <w:pStyle w:val="Reference"/>
      </w:pPr>
      <w:bookmarkStart w:id="8" w:name="_Ref54269807"/>
      <w:bookmarkStart w:id="9" w:name="_Ref174151459"/>
      <w:bookmarkStart w:id="10" w:name="_Ref189809556"/>
      <w:r w:rsidRPr="00637F6A">
        <w:t xml:space="preserve">RP-193241, Study on XR Evaluations for NR, Qualcomm, RAN#86, </w:t>
      </w:r>
      <w:proofErr w:type="spellStart"/>
      <w:r w:rsidRPr="00637F6A">
        <w:t>Sitges</w:t>
      </w:r>
      <w:proofErr w:type="spellEnd"/>
      <w:r w:rsidRPr="00637F6A">
        <w:t>, December 2019</w:t>
      </w:r>
      <w:bookmarkEnd w:id="8"/>
      <w:r w:rsidR="00C37E77" w:rsidRPr="00637F6A">
        <w:t>.</w:t>
      </w:r>
    </w:p>
    <w:p w14:paraId="1A5B0900" w14:textId="30095EB5" w:rsidR="004E68BA" w:rsidRPr="00637F6A" w:rsidRDefault="004E68BA" w:rsidP="00311702">
      <w:pPr>
        <w:pStyle w:val="Reference"/>
      </w:pPr>
      <w:bookmarkStart w:id="11" w:name="_Ref54354251"/>
      <w:bookmarkStart w:id="12" w:name="_Ref68597723"/>
      <w:r w:rsidRPr="00637F6A">
        <w:t>R1-2</w:t>
      </w:r>
      <w:r w:rsidR="00D06FCC" w:rsidRPr="00637F6A">
        <w:t>1</w:t>
      </w:r>
      <w:r w:rsidR="00637F6A" w:rsidRPr="00637F6A">
        <w:t>02955</w:t>
      </w:r>
      <w:r w:rsidRPr="00637F6A">
        <w:t>,</w:t>
      </w:r>
      <w:r w:rsidR="00513D31" w:rsidRPr="00637F6A">
        <w:t xml:space="preserve"> </w:t>
      </w:r>
      <w:r w:rsidR="00C449C1" w:rsidRPr="00637F6A">
        <w:t xml:space="preserve">Traffic model for </w:t>
      </w:r>
      <w:r w:rsidR="00513D31" w:rsidRPr="00637F6A">
        <w:t>XR</w:t>
      </w:r>
      <w:r w:rsidRPr="00637F6A">
        <w:t>, Ericsson, RAN1#10</w:t>
      </w:r>
      <w:r w:rsidR="00D06FCC" w:rsidRPr="00637F6A">
        <w:t>4</w:t>
      </w:r>
      <w:r w:rsidR="00637F6A" w:rsidRPr="00637F6A">
        <w:t>bis</w:t>
      </w:r>
      <w:r w:rsidRPr="00637F6A">
        <w:t xml:space="preserve">-e, </w:t>
      </w:r>
      <w:bookmarkEnd w:id="11"/>
      <w:r w:rsidR="00637F6A" w:rsidRPr="00637F6A">
        <w:t>April</w:t>
      </w:r>
      <w:r w:rsidR="00D06FCC" w:rsidRPr="00637F6A">
        <w:t xml:space="preserve"> 2021</w:t>
      </w:r>
      <w:bookmarkEnd w:id="12"/>
      <w:r w:rsidRPr="00637F6A">
        <w:t xml:space="preserve"> </w:t>
      </w:r>
    </w:p>
    <w:p w14:paraId="515C9913" w14:textId="1379BC64" w:rsidR="00C449C1" w:rsidRDefault="00C449C1" w:rsidP="00C449C1">
      <w:pPr>
        <w:pStyle w:val="Reference"/>
      </w:pPr>
      <w:bookmarkStart w:id="13" w:name="_Ref61871885"/>
      <w:bookmarkStart w:id="14" w:name="_Ref68597724"/>
      <w:r w:rsidRPr="00637F6A">
        <w:t>R1-210</w:t>
      </w:r>
      <w:r w:rsidR="00637F6A" w:rsidRPr="00637F6A">
        <w:t>2956</w:t>
      </w:r>
      <w:r w:rsidRPr="00637F6A">
        <w:t xml:space="preserve">, Evaluation methodology model for XR, Ericsson, </w:t>
      </w:r>
      <w:bookmarkEnd w:id="13"/>
      <w:r w:rsidR="00637F6A" w:rsidRPr="00637F6A">
        <w:t>RAN1#104bis-e, April 2021</w:t>
      </w:r>
      <w:bookmarkEnd w:id="14"/>
    </w:p>
    <w:bookmarkEnd w:id="9"/>
    <w:bookmarkEnd w:id="10"/>
    <w:p w14:paraId="49009E5E" w14:textId="1F2AE4BD" w:rsidR="00DB1F21" w:rsidRDefault="00DB1F21" w:rsidP="00DB1F21">
      <w:pPr>
        <w:pStyle w:val="Heading1"/>
      </w:pPr>
      <w:r>
        <w:lastRenderedPageBreak/>
        <w:t>Appendix</w:t>
      </w:r>
    </w:p>
    <w:tbl>
      <w:tblPr>
        <w:tblStyle w:val="TableGrid1"/>
        <w:tblW w:w="9805" w:type="dxa"/>
        <w:tblLook w:val="04A0" w:firstRow="1" w:lastRow="0" w:firstColumn="1" w:lastColumn="0" w:noHBand="0" w:noVBand="1"/>
      </w:tblPr>
      <w:tblGrid>
        <w:gridCol w:w="2605"/>
        <w:gridCol w:w="7200"/>
      </w:tblGrid>
      <w:tr w:rsidR="00D259A5" w:rsidRPr="00E22371" w14:paraId="751B4AD6" w14:textId="77777777" w:rsidTr="004725E3">
        <w:tc>
          <w:tcPr>
            <w:tcW w:w="2605" w:type="dxa"/>
            <w:shd w:val="clear" w:color="auto" w:fill="D5DCE4" w:themeFill="text2" w:themeFillTint="33"/>
          </w:tcPr>
          <w:p w14:paraId="00FB6512"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Parameters</w:t>
            </w:r>
          </w:p>
        </w:tc>
        <w:tc>
          <w:tcPr>
            <w:tcW w:w="7200" w:type="dxa"/>
            <w:shd w:val="clear" w:color="auto" w:fill="D5DCE4" w:themeFill="text2" w:themeFillTint="33"/>
          </w:tcPr>
          <w:p w14:paraId="476126D3"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Values</w:t>
            </w:r>
          </w:p>
        </w:tc>
      </w:tr>
      <w:tr w:rsidR="00D259A5" w:rsidRPr="00E22371" w14:paraId="180460F7" w14:textId="77777777" w:rsidTr="004725E3">
        <w:trPr>
          <w:trHeight w:val="377"/>
        </w:trPr>
        <w:tc>
          <w:tcPr>
            <w:tcW w:w="2605" w:type="dxa"/>
          </w:tcPr>
          <w:p w14:paraId="3312E569"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Frequency Range</w:t>
            </w:r>
          </w:p>
        </w:tc>
        <w:tc>
          <w:tcPr>
            <w:tcW w:w="7200" w:type="dxa"/>
          </w:tcPr>
          <w:p w14:paraId="76F7B5BF" w14:textId="09E89A41" w:rsidR="00D259A5" w:rsidRPr="0045670F" w:rsidRDefault="00D259A5" w:rsidP="004725E3">
            <w:pPr>
              <w:snapToGrid w:val="0"/>
              <w:spacing w:after="0" w:line="240" w:lineRule="auto"/>
              <w:rPr>
                <w:rFonts w:ascii="Times New Roman" w:eastAsia="SimSun" w:hAnsi="Times New Roman" w:cs="Times New Roman"/>
                <w:sz w:val="18"/>
                <w:szCs w:val="20"/>
              </w:rPr>
            </w:pPr>
            <w:r w:rsidRPr="0045670F">
              <w:rPr>
                <w:rFonts w:ascii="Times New Roman" w:eastAsia="Malgun Gothic" w:hAnsi="Times New Roman" w:cs="Times New Roman"/>
                <w:sz w:val="18"/>
                <w:szCs w:val="20"/>
                <w:lang w:eastAsia="ko-KR"/>
              </w:rPr>
              <w:t xml:space="preserve">FR1 @ 4 GHz, </w:t>
            </w:r>
            <w:r w:rsidRPr="0045670F">
              <w:rPr>
                <w:rFonts w:ascii="Times New Roman" w:eastAsia="SimSun" w:hAnsi="Times New Roman" w:cs="Times New Roman"/>
                <w:sz w:val="18"/>
                <w:szCs w:val="20"/>
              </w:rPr>
              <w:t>SCS: 30 kHz, BW: 100 MHz</w:t>
            </w:r>
          </w:p>
        </w:tc>
      </w:tr>
      <w:tr w:rsidR="00D259A5" w:rsidRPr="00E22371" w14:paraId="033447EA" w14:textId="77777777" w:rsidTr="004725E3">
        <w:tc>
          <w:tcPr>
            <w:tcW w:w="2605" w:type="dxa"/>
          </w:tcPr>
          <w:p w14:paraId="7B08B1E1"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Antenna Configuration</w:t>
            </w:r>
          </w:p>
        </w:tc>
        <w:tc>
          <w:tcPr>
            <w:tcW w:w="7200" w:type="dxa"/>
          </w:tcPr>
          <w:p w14:paraId="179CEFE3" w14:textId="33B1DB1D" w:rsidR="00D259A5" w:rsidRPr="0045670F" w:rsidRDefault="00D259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(M, N, P, M</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N</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 (2, 8, 2, 1, 1). (d</w:t>
            </w:r>
            <w:r w:rsidRPr="0045670F">
              <w:rPr>
                <w:rFonts w:ascii="Times New Roman" w:eastAsia="Malgun Gothic" w:hAnsi="Times New Roman" w:cs="Times New Roman"/>
                <w:sz w:val="18"/>
                <w:szCs w:val="20"/>
                <w:vertAlign w:val="subscript"/>
                <w:lang w:val="sv-SE" w:eastAsia="ko-KR"/>
              </w:rPr>
              <w:t>V</w:t>
            </w:r>
            <w:r w:rsidRPr="0045670F">
              <w:rPr>
                <w:rFonts w:ascii="Times New Roman" w:eastAsia="Malgun Gothic" w:hAnsi="Times New Roman" w:cs="Times New Roman"/>
                <w:sz w:val="18"/>
                <w:szCs w:val="20"/>
                <w:lang w:val="sv-SE" w:eastAsia="ko-KR"/>
              </w:rPr>
              <w:t>, d</w:t>
            </w:r>
            <w:r w:rsidRPr="0045670F">
              <w:rPr>
                <w:rFonts w:ascii="Times New Roman" w:eastAsia="Malgun Gothic" w:hAnsi="Times New Roman" w:cs="Times New Roman"/>
                <w:sz w:val="18"/>
                <w:szCs w:val="20"/>
                <w:vertAlign w:val="subscript"/>
                <w:lang w:val="sv-SE" w:eastAsia="ko-KR"/>
              </w:rPr>
              <w:t>H</w:t>
            </w:r>
            <w:r w:rsidRPr="0045670F">
              <w:rPr>
                <w:rFonts w:ascii="Times New Roman" w:eastAsia="Malgun Gothic" w:hAnsi="Times New Roman" w:cs="Times New Roman"/>
                <w:sz w:val="18"/>
                <w:szCs w:val="20"/>
                <w:lang w:val="sv-SE" w:eastAsia="ko-KR"/>
              </w:rPr>
              <w:t>) = (0.</w:t>
            </w:r>
            <w:r w:rsidR="00D06FCC" w:rsidRPr="0045670F">
              <w:rPr>
                <w:rFonts w:ascii="Times New Roman" w:eastAsia="Malgun Gothic" w:hAnsi="Times New Roman" w:cs="Times New Roman"/>
                <w:sz w:val="18"/>
                <w:szCs w:val="20"/>
                <w:lang w:val="sv-SE" w:eastAsia="ko-KR"/>
              </w:rPr>
              <w:t>5</w:t>
            </w:r>
            <w:r w:rsidRPr="0045670F">
              <w:rPr>
                <w:rFonts w:ascii="Times New Roman" w:eastAsia="Malgun Gothic" w:hAnsi="Times New Roman" w:cs="Times New Roman"/>
                <w:sz w:val="18"/>
                <w:szCs w:val="20"/>
                <w:lang w:val="sv-SE" w:eastAsia="ko-KR"/>
              </w:rPr>
              <w:t xml:space="preserve">, 0.5) </w:t>
            </w:r>
            <w:r w:rsidRPr="0045670F">
              <w:rPr>
                <w:rFonts w:ascii="Times New Roman" w:eastAsia="Malgun Gothic" w:hAnsi="Times New Roman" w:cs="Times New Roman"/>
                <w:sz w:val="18"/>
                <w:szCs w:val="20"/>
                <w:lang w:val="en-GB" w:eastAsia="ko-KR"/>
              </w:rPr>
              <w:t>λ</w:t>
            </w:r>
            <w:r w:rsidRPr="0045670F">
              <w:rPr>
                <w:rFonts w:ascii="Times New Roman" w:eastAsia="Malgun Gothic" w:hAnsi="Times New Roman" w:cs="Times New Roman"/>
                <w:sz w:val="18"/>
                <w:szCs w:val="20"/>
                <w:lang w:val="sv-SE" w:eastAsia="ko-KR"/>
              </w:rPr>
              <w:t xml:space="preserve">. </w:t>
            </w:r>
          </w:p>
          <w:p w14:paraId="14866744" w14:textId="7A8394DB"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gNB Antenna has physical down-tilt of 14 degrees </w:t>
            </w:r>
          </w:p>
        </w:tc>
      </w:tr>
      <w:tr w:rsidR="007012A5" w:rsidRPr="00E22371" w14:paraId="0875BF06" w14:textId="77777777" w:rsidTr="004725E3">
        <w:tc>
          <w:tcPr>
            <w:tcW w:w="2605" w:type="dxa"/>
          </w:tcPr>
          <w:p w14:paraId="4D72ED36" w14:textId="18BDF8AE"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Duplex method</w:t>
            </w:r>
          </w:p>
        </w:tc>
        <w:tc>
          <w:tcPr>
            <w:tcW w:w="7200" w:type="dxa"/>
          </w:tcPr>
          <w:p w14:paraId="4D0308CF" w14:textId="3674511A" w:rsidR="007012A5" w:rsidRPr="0045670F" w:rsidRDefault="007012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 xml:space="preserve">TDD </w:t>
            </w:r>
            <w:r w:rsidR="00227C07" w:rsidRPr="0045670F">
              <w:rPr>
                <w:rFonts w:ascii="Times New Roman" w:eastAsia="Malgun Gothic" w:hAnsi="Times New Roman" w:cs="Times New Roman"/>
                <w:sz w:val="18"/>
                <w:szCs w:val="20"/>
                <w:lang w:val="sv-SE" w:eastAsia="ko-KR"/>
              </w:rPr>
              <w:t>DDDSU</w:t>
            </w:r>
          </w:p>
        </w:tc>
      </w:tr>
      <w:tr w:rsidR="00D259A5" w:rsidRPr="00E22371" w14:paraId="56323626" w14:textId="77777777" w:rsidTr="004725E3">
        <w:tc>
          <w:tcPr>
            <w:tcW w:w="2605" w:type="dxa"/>
          </w:tcPr>
          <w:p w14:paraId="07B795E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Antenna Configuration</w:t>
            </w:r>
          </w:p>
        </w:tc>
        <w:tc>
          <w:tcPr>
            <w:tcW w:w="7200" w:type="dxa"/>
          </w:tcPr>
          <w:p w14:paraId="001C3BE3" w14:textId="574FC44B"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(M, N, P) = (1, </w:t>
            </w:r>
            <w:r w:rsidR="007012A5" w:rsidRPr="0045670F">
              <w:rPr>
                <w:rFonts w:ascii="Times New Roman" w:eastAsia="Malgun Gothic" w:hAnsi="Times New Roman" w:cs="Times New Roman"/>
                <w:sz w:val="18"/>
                <w:szCs w:val="20"/>
                <w:lang w:eastAsia="ko-KR"/>
              </w:rPr>
              <w:t>2</w:t>
            </w:r>
            <w:r w:rsidRPr="0045670F">
              <w:rPr>
                <w:rFonts w:ascii="Times New Roman" w:eastAsia="Malgun Gothic" w:hAnsi="Times New Roman" w:cs="Times New Roman"/>
                <w:sz w:val="18"/>
                <w:szCs w:val="20"/>
                <w:lang w:eastAsia="ko-KR"/>
              </w:rPr>
              <w:t>, 2),</w:t>
            </w:r>
            <w:r w:rsidR="007012A5" w:rsidRPr="0045670F">
              <w:rPr>
                <w:rFonts w:ascii="Times New Roman" w:eastAsia="Malgun Gothic" w:hAnsi="Times New Roman" w:cs="Times New Roman"/>
                <w:sz w:val="18"/>
                <w:szCs w:val="20"/>
                <w:lang w:eastAsia="ko-KR"/>
              </w:rPr>
              <w:t xml:space="preserve"> </w:t>
            </w:r>
          </w:p>
        </w:tc>
      </w:tr>
      <w:tr w:rsidR="00D259A5" w:rsidRPr="00E22371" w14:paraId="37E2C6A4" w14:textId="77777777" w:rsidTr="004725E3">
        <w:tc>
          <w:tcPr>
            <w:tcW w:w="2605" w:type="dxa"/>
          </w:tcPr>
          <w:p w14:paraId="5F5442F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Link adaptation</w:t>
            </w:r>
          </w:p>
        </w:tc>
        <w:tc>
          <w:tcPr>
            <w:tcW w:w="7200" w:type="dxa"/>
          </w:tcPr>
          <w:p w14:paraId="3E9A134A" w14:textId="693D53DF"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Outer loop adaptation + </w:t>
            </w:r>
            <w:r w:rsidR="007012A5" w:rsidRPr="0045670F">
              <w:rPr>
                <w:rFonts w:ascii="Times New Roman" w:eastAsia="Malgun Gothic" w:hAnsi="Times New Roman" w:cs="Times New Roman"/>
                <w:sz w:val="18"/>
                <w:szCs w:val="20"/>
                <w:lang w:eastAsia="ko-KR"/>
              </w:rPr>
              <w:t>32-port CSI-RS Type I codebook</w:t>
            </w:r>
          </w:p>
        </w:tc>
      </w:tr>
      <w:tr w:rsidR="00AB7181" w:rsidRPr="00E22371" w14:paraId="19480B07" w14:textId="77777777" w:rsidTr="004725E3">
        <w:tc>
          <w:tcPr>
            <w:tcW w:w="2605" w:type="dxa"/>
          </w:tcPr>
          <w:p w14:paraId="724B4741" w14:textId="797DF875"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Scheduling</w:t>
            </w:r>
          </w:p>
        </w:tc>
        <w:tc>
          <w:tcPr>
            <w:tcW w:w="7200" w:type="dxa"/>
          </w:tcPr>
          <w:p w14:paraId="4CF9769C" w14:textId="75091DA9"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PF, SU-MIMO</w:t>
            </w:r>
          </w:p>
        </w:tc>
      </w:tr>
      <w:tr w:rsidR="00D259A5" w:rsidRPr="00E22371" w14:paraId="50E24618" w14:textId="77777777" w:rsidTr="004725E3">
        <w:tc>
          <w:tcPr>
            <w:tcW w:w="2605" w:type="dxa"/>
            <w:shd w:val="clear" w:color="auto" w:fill="auto"/>
            <w:vAlign w:val="center"/>
          </w:tcPr>
          <w:p w14:paraId="49B20B9A"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Control and RS overhead</w:t>
            </w:r>
          </w:p>
        </w:tc>
        <w:tc>
          <w:tcPr>
            <w:tcW w:w="7200" w:type="dxa"/>
            <w:shd w:val="clear" w:color="auto" w:fill="auto"/>
            <w:vAlign w:val="center"/>
          </w:tcPr>
          <w:p w14:paraId="4E73F09B" w14:textId="24E6EDDE"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Explicit modelling of control and RS overhead</w:t>
            </w:r>
          </w:p>
        </w:tc>
      </w:tr>
      <w:tr w:rsidR="00D259A5" w:rsidRPr="00E22371" w14:paraId="78E8659C" w14:textId="77777777" w:rsidTr="004725E3">
        <w:tc>
          <w:tcPr>
            <w:tcW w:w="2605" w:type="dxa"/>
            <w:shd w:val="clear" w:color="auto" w:fill="auto"/>
            <w:vAlign w:val="center"/>
          </w:tcPr>
          <w:p w14:paraId="13A7F41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Transmission scheme</w:t>
            </w:r>
          </w:p>
        </w:tc>
        <w:tc>
          <w:tcPr>
            <w:tcW w:w="7200" w:type="dxa"/>
            <w:shd w:val="clear" w:color="auto" w:fill="auto"/>
            <w:vAlign w:val="center"/>
          </w:tcPr>
          <w:p w14:paraId="2D4CDDDE" w14:textId="31E1DBD8"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kern w:val="24"/>
                <w:sz w:val="18"/>
                <w:szCs w:val="20"/>
                <w:lang w:val="en-GB" w:eastAsia="ko-KR"/>
              </w:rPr>
              <w:t>U</w:t>
            </w:r>
            <w:r w:rsidR="00D259A5" w:rsidRPr="0045670F">
              <w:rPr>
                <w:rFonts w:ascii="Times New Roman" w:eastAsia="Malgun Gothic" w:hAnsi="Times New Roman" w:cs="Times New Roman"/>
                <w:kern w:val="24"/>
                <w:sz w:val="18"/>
                <w:szCs w:val="20"/>
                <w:lang w:val="en-GB" w:eastAsia="ko-KR"/>
              </w:rPr>
              <w:t xml:space="preserve">p to rank </w:t>
            </w:r>
            <w:r w:rsidRPr="0045670F">
              <w:rPr>
                <w:rFonts w:ascii="Times New Roman" w:eastAsia="Malgun Gothic" w:hAnsi="Times New Roman" w:cs="Times New Roman"/>
                <w:kern w:val="24"/>
                <w:sz w:val="18"/>
                <w:szCs w:val="20"/>
                <w:lang w:val="en-GB" w:eastAsia="ko-KR"/>
              </w:rPr>
              <w:t>4</w:t>
            </w:r>
            <w:r w:rsidR="00D259A5" w:rsidRPr="0045670F">
              <w:rPr>
                <w:rFonts w:ascii="Times New Roman" w:eastAsia="Malgun Gothic" w:hAnsi="Times New Roman" w:cs="Times New Roman"/>
                <w:kern w:val="24"/>
                <w:sz w:val="18"/>
                <w:szCs w:val="20"/>
                <w:lang w:val="en-GB" w:eastAsia="ko-KR"/>
              </w:rPr>
              <w:t xml:space="preserve"> transmission</w:t>
            </w:r>
          </w:p>
        </w:tc>
      </w:tr>
      <w:tr w:rsidR="00D259A5" w:rsidRPr="00E22371" w14:paraId="71C52A9D" w14:textId="77777777" w:rsidTr="004725E3">
        <w:tc>
          <w:tcPr>
            <w:tcW w:w="2605" w:type="dxa"/>
          </w:tcPr>
          <w:p w14:paraId="230EE8F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Other potential impairments</w:t>
            </w:r>
          </w:p>
        </w:tc>
        <w:tc>
          <w:tcPr>
            <w:tcW w:w="7200" w:type="dxa"/>
          </w:tcPr>
          <w:p w14:paraId="0E0BB25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Not modelled (assumed ideal)</w:t>
            </w:r>
          </w:p>
        </w:tc>
      </w:tr>
      <w:tr w:rsidR="00D259A5" w:rsidRPr="00E22371" w14:paraId="5451B33F" w14:textId="77777777" w:rsidTr="004725E3">
        <w:tc>
          <w:tcPr>
            <w:tcW w:w="2605" w:type="dxa"/>
          </w:tcPr>
          <w:p w14:paraId="3400AAAB"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Target BLER</w:t>
            </w:r>
          </w:p>
        </w:tc>
        <w:tc>
          <w:tcPr>
            <w:tcW w:w="7200" w:type="dxa"/>
          </w:tcPr>
          <w:p w14:paraId="18A02FAD" w14:textId="259BE30E"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10% </w:t>
            </w:r>
          </w:p>
        </w:tc>
      </w:tr>
      <w:tr w:rsidR="00D259A5" w:rsidRPr="00E22371" w14:paraId="7DFB4404" w14:textId="77777777" w:rsidTr="004725E3">
        <w:tc>
          <w:tcPr>
            <w:tcW w:w="2605" w:type="dxa"/>
          </w:tcPr>
          <w:p w14:paraId="5D5668F4"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Scenario</w:t>
            </w:r>
          </w:p>
        </w:tc>
        <w:tc>
          <w:tcPr>
            <w:tcW w:w="7200" w:type="dxa"/>
          </w:tcPr>
          <w:p w14:paraId="36A5910F" w14:textId="77777777" w:rsidR="00D259A5" w:rsidRPr="0045670F" w:rsidRDefault="00D259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 xml:space="preserve">Dense Urban (macro-layer only, TR 38.913), 200m ISD, 2-tier model with wrap-around (7 sites, 3 sectors/cells per site), </w:t>
            </w:r>
            <w:r w:rsidR="00D06FCC" w:rsidRPr="0045670F">
              <w:rPr>
                <w:rFonts w:ascii="Times New Roman" w:hAnsi="Times New Roman" w:cs="Times New Roman"/>
                <w:sz w:val="18"/>
                <w:szCs w:val="18"/>
              </w:rPr>
              <w:t>2</w:t>
            </w:r>
            <w:r w:rsidRPr="0045670F">
              <w:rPr>
                <w:rFonts w:ascii="Times New Roman" w:hAnsi="Times New Roman" w:cs="Times New Roman"/>
                <w:sz w:val="18"/>
                <w:szCs w:val="18"/>
              </w:rPr>
              <w:t xml:space="preserve">0% outdoor </w:t>
            </w:r>
          </w:p>
          <w:p w14:paraId="57053626" w14:textId="54D18DFE" w:rsidR="000F1D97" w:rsidRPr="0045670F" w:rsidRDefault="000F1D97" w:rsidP="004725E3">
            <w:pPr>
              <w:snapToGrid w:val="0"/>
              <w:spacing w:line="240" w:lineRule="auto"/>
              <w:rPr>
                <w:rFonts w:ascii="Times New Roman" w:eastAsia="Malgun Gothic" w:hAnsi="Times New Roman" w:cs="Times New Roman"/>
                <w:sz w:val="18"/>
                <w:szCs w:val="20"/>
                <w:lang w:val="x-none" w:eastAsia="ko-KR"/>
              </w:rPr>
            </w:pPr>
            <w:r w:rsidRPr="0045670F">
              <w:rPr>
                <w:rFonts w:ascii="Times New Roman" w:hAnsi="Times New Roman" w:cs="Times New Roman"/>
                <w:sz w:val="18"/>
                <w:szCs w:val="18"/>
              </w:rPr>
              <w:t>Urban macro, 500m ISD, 2-tier model with wrap-around (7 sites, 3 sectors/cells per site), 20% outdoor</w:t>
            </w:r>
          </w:p>
        </w:tc>
      </w:tr>
      <w:tr w:rsidR="00D259A5" w:rsidRPr="00E22371" w14:paraId="37D14E3B" w14:textId="77777777" w:rsidTr="004725E3">
        <w:tc>
          <w:tcPr>
            <w:tcW w:w="2605" w:type="dxa"/>
          </w:tcPr>
          <w:p w14:paraId="2B6D431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Channel model</w:t>
            </w:r>
          </w:p>
        </w:tc>
        <w:tc>
          <w:tcPr>
            <w:tcW w:w="7200" w:type="dxa"/>
          </w:tcPr>
          <w:p w14:paraId="00F7A714" w14:textId="5A3DBF76" w:rsidR="00D259A5" w:rsidRPr="0045670F" w:rsidRDefault="00D259A5" w:rsidP="004725E3">
            <w:pPr>
              <w:snapToGrid w:val="0"/>
              <w:spacing w:line="240" w:lineRule="auto"/>
              <w:rPr>
                <w:rFonts w:ascii="Times New Roman" w:hAnsi="Times New Roman" w:cs="Times New Roman"/>
                <w:sz w:val="18"/>
                <w:szCs w:val="18"/>
              </w:rPr>
            </w:pPr>
            <w:proofErr w:type="spellStart"/>
            <w:r w:rsidRPr="0045670F">
              <w:rPr>
                <w:rFonts w:ascii="Times New Roman" w:hAnsi="Times New Roman" w:cs="Times New Roman"/>
                <w:sz w:val="18"/>
                <w:szCs w:val="18"/>
              </w:rPr>
              <w:t>UMa</w:t>
            </w:r>
            <w:proofErr w:type="spellEnd"/>
            <w:r w:rsidRPr="0045670F">
              <w:rPr>
                <w:rFonts w:ascii="Times New Roman" w:hAnsi="Times New Roman" w:cs="Times New Roman"/>
                <w:sz w:val="18"/>
                <w:szCs w:val="18"/>
              </w:rPr>
              <w:t xml:space="preserve"> 5G (TR 38.901)</w:t>
            </w:r>
          </w:p>
        </w:tc>
      </w:tr>
      <w:tr w:rsidR="007012A5" w:rsidRPr="00E22371" w14:paraId="6C36085A" w14:textId="77777777" w:rsidTr="004725E3">
        <w:tc>
          <w:tcPr>
            <w:tcW w:w="2605" w:type="dxa"/>
          </w:tcPr>
          <w:p w14:paraId="794AEBFD" w14:textId="2031FAB5"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Tx power</w:t>
            </w:r>
          </w:p>
        </w:tc>
        <w:tc>
          <w:tcPr>
            <w:tcW w:w="7200" w:type="dxa"/>
          </w:tcPr>
          <w:p w14:paraId="4A4C4D15" w14:textId="53EC8ED2" w:rsidR="00B73043" w:rsidRPr="0045670F" w:rsidRDefault="002C0F2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51dBm</w:t>
            </w:r>
            <w:r w:rsidR="000F1D97" w:rsidRPr="0045670F">
              <w:rPr>
                <w:rFonts w:ascii="Times New Roman" w:hAnsi="Times New Roman" w:cs="Times New Roman"/>
                <w:sz w:val="18"/>
                <w:szCs w:val="18"/>
              </w:rPr>
              <w:t xml:space="preserve"> (</w:t>
            </w:r>
            <w:proofErr w:type="spellStart"/>
            <w:r w:rsidR="000F1D97" w:rsidRPr="0045670F">
              <w:rPr>
                <w:rFonts w:ascii="Times New Roman" w:hAnsi="Times New Roman" w:cs="Times New Roman"/>
                <w:sz w:val="18"/>
                <w:szCs w:val="18"/>
              </w:rPr>
              <w:t>DMa</w:t>
            </w:r>
            <w:proofErr w:type="spellEnd"/>
            <w:r w:rsidR="000F1D97" w:rsidRPr="0045670F">
              <w:rPr>
                <w:rFonts w:ascii="Times New Roman" w:hAnsi="Times New Roman" w:cs="Times New Roman"/>
                <w:sz w:val="18"/>
                <w:szCs w:val="18"/>
              </w:rPr>
              <w:t>)</w:t>
            </w:r>
            <w:r w:rsidR="00B73043" w:rsidRPr="0045670F">
              <w:rPr>
                <w:rFonts w:ascii="Times New Roman" w:hAnsi="Times New Roman" w:cs="Times New Roman"/>
                <w:sz w:val="18"/>
                <w:szCs w:val="18"/>
              </w:rPr>
              <w:br/>
              <w:t>56dBm (</w:t>
            </w:r>
            <w:proofErr w:type="spellStart"/>
            <w:r w:rsidR="00B73043" w:rsidRPr="0045670F">
              <w:rPr>
                <w:rFonts w:ascii="Times New Roman" w:hAnsi="Times New Roman" w:cs="Times New Roman"/>
                <w:sz w:val="18"/>
                <w:szCs w:val="18"/>
              </w:rPr>
              <w:t>UMa</w:t>
            </w:r>
            <w:proofErr w:type="spellEnd"/>
            <w:r w:rsidR="00B73043" w:rsidRPr="0045670F">
              <w:rPr>
                <w:rFonts w:ascii="Times New Roman" w:hAnsi="Times New Roman" w:cs="Times New Roman"/>
                <w:sz w:val="18"/>
                <w:szCs w:val="18"/>
              </w:rPr>
              <w:t>)</w:t>
            </w:r>
          </w:p>
        </w:tc>
      </w:tr>
      <w:tr w:rsidR="007012A5" w:rsidRPr="00E22371" w14:paraId="093AE868" w14:textId="77777777" w:rsidTr="004725E3">
        <w:tc>
          <w:tcPr>
            <w:tcW w:w="2605" w:type="dxa"/>
          </w:tcPr>
          <w:p w14:paraId="672161FE" w14:textId="0C4A3DF1"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receiver noise figure</w:t>
            </w:r>
          </w:p>
        </w:tc>
        <w:tc>
          <w:tcPr>
            <w:tcW w:w="7200" w:type="dxa"/>
          </w:tcPr>
          <w:p w14:paraId="06B92E89" w14:textId="30CACF0E"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5dB</w:t>
            </w:r>
          </w:p>
        </w:tc>
      </w:tr>
      <w:tr w:rsidR="007012A5" w:rsidRPr="00E22371" w14:paraId="0331BCC6" w14:textId="77777777" w:rsidTr="004725E3">
        <w:tc>
          <w:tcPr>
            <w:tcW w:w="2605" w:type="dxa"/>
          </w:tcPr>
          <w:p w14:paraId="4B9F754F" w14:textId="4B27F657"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 noise figure</w:t>
            </w:r>
          </w:p>
        </w:tc>
        <w:tc>
          <w:tcPr>
            <w:tcW w:w="7200" w:type="dxa"/>
          </w:tcPr>
          <w:p w14:paraId="3F643AD4" w14:textId="454CF422"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9dB</w:t>
            </w:r>
          </w:p>
        </w:tc>
      </w:tr>
      <w:tr w:rsidR="0050511F" w:rsidRPr="00E22371" w14:paraId="337B466D" w14:textId="77777777" w:rsidTr="004725E3">
        <w:tc>
          <w:tcPr>
            <w:tcW w:w="2605" w:type="dxa"/>
          </w:tcPr>
          <w:p w14:paraId="6B03F574" w14:textId="47C4695D" w:rsidR="0050511F" w:rsidRPr="0045670F" w:rsidRDefault="0050511F"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distribution</w:t>
            </w:r>
          </w:p>
        </w:tc>
        <w:tc>
          <w:tcPr>
            <w:tcW w:w="7200" w:type="dxa"/>
          </w:tcPr>
          <w:p w14:paraId="11EC5B67" w14:textId="1E90AD0D" w:rsidR="0050511F" w:rsidRPr="0045670F" w:rsidRDefault="0050511F"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Randomly over the system</w:t>
            </w:r>
          </w:p>
        </w:tc>
      </w:tr>
      <w:tr w:rsidR="00ED1999" w:rsidRPr="00E22371" w14:paraId="202EC670" w14:textId="77777777" w:rsidTr="004725E3">
        <w:tc>
          <w:tcPr>
            <w:tcW w:w="2605" w:type="dxa"/>
          </w:tcPr>
          <w:p w14:paraId="44A9456C" w14:textId="175E9D82"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w:t>
            </w:r>
          </w:p>
        </w:tc>
        <w:tc>
          <w:tcPr>
            <w:tcW w:w="7200" w:type="dxa"/>
          </w:tcPr>
          <w:p w14:paraId="2CD91CB3" w14:textId="6B8DDB2B" w:rsidR="00ED1999" w:rsidRPr="0045670F"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MMSE-IRC</w:t>
            </w:r>
          </w:p>
        </w:tc>
      </w:tr>
      <w:tr w:rsidR="00ED1999" w:rsidRPr="005D045E" w14:paraId="77B0CAB5" w14:textId="77777777" w:rsidTr="004725E3">
        <w:tc>
          <w:tcPr>
            <w:tcW w:w="2605" w:type="dxa"/>
          </w:tcPr>
          <w:p w14:paraId="11C8E9B3" w14:textId="25C087CE"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CSI feedback</w:t>
            </w:r>
          </w:p>
        </w:tc>
        <w:tc>
          <w:tcPr>
            <w:tcW w:w="7200" w:type="dxa"/>
          </w:tcPr>
          <w:p w14:paraId="63BA2881" w14:textId="239979AA" w:rsidR="00ED1999"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Realistic, including CSI quantization</w:t>
            </w:r>
          </w:p>
        </w:tc>
      </w:tr>
    </w:tbl>
    <w:p w14:paraId="6E9777F7" w14:textId="43E2204A" w:rsidR="00AF6629" w:rsidRDefault="00AF6629" w:rsidP="00CE0424">
      <w:pPr>
        <w:pStyle w:val="BodyText"/>
      </w:pPr>
    </w:p>
    <w:p w14:paraId="54FD7D8A" w14:textId="61021476" w:rsidR="00AF6629" w:rsidRDefault="00AF6629" w:rsidP="00CE0424">
      <w:pPr>
        <w:pStyle w:val="BodyText"/>
      </w:pPr>
    </w:p>
    <w:p w14:paraId="2679591F" w14:textId="27D7D301" w:rsidR="00F8097D" w:rsidRPr="00CE0424" w:rsidRDefault="00F8097D" w:rsidP="00CE0424">
      <w:pPr>
        <w:pStyle w:val="BodyText"/>
      </w:pPr>
    </w:p>
    <w:sectPr w:rsidR="00F8097D" w:rsidRPr="00CE0424"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AC051" w14:textId="77777777" w:rsidR="000174C5" w:rsidRDefault="000174C5">
      <w:r>
        <w:separator/>
      </w:r>
    </w:p>
  </w:endnote>
  <w:endnote w:type="continuationSeparator" w:id="0">
    <w:p w14:paraId="225DE12D" w14:textId="77777777" w:rsidR="000174C5" w:rsidRDefault="000174C5">
      <w:r>
        <w:continuationSeparator/>
      </w:r>
    </w:p>
  </w:endnote>
  <w:endnote w:type="continuationNotice" w:id="1">
    <w:p w14:paraId="01BD7953" w14:textId="77777777" w:rsidR="000174C5" w:rsidRDefault="00017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0174C5" w:rsidRDefault="000174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384FA" w14:textId="77777777" w:rsidR="000174C5" w:rsidRDefault="000174C5">
      <w:r>
        <w:separator/>
      </w:r>
    </w:p>
  </w:footnote>
  <w:footnote w:type="continuationSeparator" w:id="0">
    <w:p w14:paraId="51E3BE1C" w14:textId="77777777" w:rsidR="000174C5" w:rsidRDefault="000174C5">
      <w:r>
        <w:continuationSeparator/>
      </w:r>
    </w:p>
  </w:footnote>
  <w:footnote w:type="continuationNotice" w:id="1">
    <w:p w14:paraId="2A2542DE" w14:textId="77777777" w:rsidR="000174C5" w:rsidRDefault="000174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0174C5" w:rsidRDefault="000174C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02D7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4A8A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4"/>
  </w:num>
  <w:num w:numId="20">
    <w:abstractNumId w:val="29"/>
  </w:num>
  <w:num w:numId="21">
    <w:abstractNumId w:val="12"/>
  </w:num>
  <w:num w:numId="22">
    <w:abstractNumId w:val="28"/>
  </w:num>
  <w:num w:numId="23">
    <w:abstractNumId w:val="8"/>
  </w:num>
  <w:num w:numId="24">
    <w:abstractNumId w:val="27"/>
  </w:num>
  <w:num w:numId="25">
    <w:abstractNumId w:val="15"/>
  </w:num>
  <w:num w:numId="26">
    <w:abstractNumId w:val="25"/>
  </w:num>
  <w:num w:numId="27">
    <w:abstractNumId w:val="24"/>
  </w:num>
  <w:num w:numId="28">
    <w:abstractNumId w:val="19"/>
  </w:num>
  <w:num w:numId="29">
    <w:abstractNumId w:val="5"/>
  </w:num>
  <w:num w:numId="3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B28"/>
    <w:rsid w:val="00015D15"/>
    <w:rsid w:val="000174C5"/>
    <w:rsid w:val="00023C49"/>
    <w:rsid w:val="0002564D"/>
    <w:rsid w:val="00025ECA"/>
    <w:rsid w:val="00026923"/>
    <w:rsid w:val="000325B8"/>
    <w:rsid w:val="00034C15"/>
    <w:rsid w:val="0003635F"/>
    <w:rsid w:val="00036BA1"/>
    <w:rsid w:val="000422E2"/>
    <w:rsid w:val="00042F22"/>
    <w:rsid w:val="000444EF"/>
    <w:rsid w:val="00044DE8"/>
    <w:rsid w:val="000524CF"/>
    <w:rsid w:val="00052A07"/>
    <w:rsid w:val="000534E3"/>
    <w:rsid w:val="0005430B"/>
    <w:rsid w:val="0005606A"/>
    <w:rsid w:val="00056E78"/>
    <w:rsid w:val="00057117"/>
    <w:rsid w:val="000616E7"/>
    <w:rsid w:val="000630B0"/>
    <w:rsid w:val="0006487E"/>
    <w:rsid w:val="00065E1A"/>
    <w:rsid w:val="00076CEB"/>
    <w:rsid w:val="00077E5F"/>
    <w:rsid w:val="0008036A"/>
    <w:rsid w:val="00081AE6"/>
    <w:rsid w:val="00082924"/>
    <w:rsid w:val="000855EB"/>
    <w:rsid w:val="00085B52"/>
    <w:rsid w:val="000866F2"/>
    <w:rsid w:val="00087268"/>
    <w:rsid w:val="0009009F"/>
    <w:rsid w:val="00090FBB"/>
    <w:rsid w:val="00091557"/>
    <w:rsid w:val="000924C1"/>
    <w:rsid w:val="000924F0"/>
    <w:rsid w:val="00093474"/>
    <w:rsid w:val="0009510F"/>
    <w:rsid w:val="000A189E"/>
    <w:rsid w:val="000A1B7B"/>
    <w:rsid w:val="000A56F2"/>
    <w:rsid w:val="000B2719"/>
    <w:rsid w:val="000B3A8F"/>
    <w:rsid w:val="000B4AB9"/>
    <w:rsid w:val="000B58C3"/>
    <w:rsid w:val="000B61E9"/>
    <w:rsid w:val="000C165A"/>
    <w:rsid w:val="000C2E19"/>
    <w:rsid w:val="000C364D"/>
    <w:rsid w:val="000C3966"/>
    <w:rsid w:val="000D0D07"/>
    <w:rsid w:val="000D4797"/>
    <w:rsid w:val="000D6EB1"/>
    <w:rsid w:val="000D729F"/>
    <w:rsid w:val="000E0527"/>
    <w:rsid w:val="000E1E92"/>
    <w:rsid w:val="000E67A4"/>
    <w:rsid w:val="000F06D6"/>
    <w:rsid w:val="000F0EB1"/>
    <w:rsid w:val="000F1106"/>
    <w:rsid w:val="000F1D97"/>
    <w:rsid w:val="000F27B2"/>
    <w:rsid w:val="000F3BE9"/>
    <w:rsid w:val="000F3F6C"/>
    <w:rsid w:val="000F6DF3"/>
    <w:rsid w:val="001005FF"/>
    <w:rsid w:val="001062FB"/>
    <w:rsid w:val="001063E6"/>
    <w:rsid w:val="00113CF4"/>
    <w:rsid w:val="001140F0"/>
    <w:rsid w:val="001153EA"/>
    <w:rsid w:val="00115643"/>
    <w:rsid w:val="00116765"/>
    <w:rsid w:val="001219F5"/>
    <w:rsid w:val="00121A20"/>
    <w:rsid w:val="0012377F"/>
    <w:rsid w:val="00124314"/>
    <w:rsid w:val="001262C9"/>
    <w:rsid w:val="00126B4A"/>
    <w:rsid w:val="00132FD0"/>
    <w:rsid w:val="001344C0"/>
    <w:rsid w:val="001346FA"/>
    <w:rsid w:val="00135252"/>
    <w:rsid w:val="00137AB5"/>
    <w:rsid w:val="00137F0B"/>
    <w:rsid w:val="001418E3"/>
    <w:rsid w:val="00141EC2"/>
    <w:rsid w:val="001430E9"/>
    <w:rsid w:val="00145188"/>
    <w:rsid w:val="00151E23"/>
    <w:rsid w:val="001526E0"/>
    <w:rsid w:val="001551B5"/>
    <w:rsid w:val="00156F7B"/>
    <w:rsid w:val="001659C1"/>
    <w:rsid w:val="0016678D"/>
    <w:rsid w:val="00173A8E"/>
    <w:rsid w:val="0017502C"/>
    <w:rsid w:val="0018143F"/>
    <w:rsid w:val="00181FF8"/>
    <w:rsid w:val="001844C2"/>
    <w:rsid w:val="00190AC1"/>
    <w:rsid w:val="0019341A"/>
    <w:rsid w:val="00197DF9"/>
    <w:rsid w:val="00197E29"/>
    <w:rsid w:val="001A1987"/>
    <w:rsid w:val="001A2564"/>
    <w:rsid w:val="001A3DA0"/>
    <w:rsid w:val="001A6173"/>
    <w:rsid w:val="001A6CBA"/>
    <w:rsid w:val="001B0D97"/>
    <w:rsid w:val="001B5A5D"/>
    <w:rsid w:val="001C1CE5"/>
    <w:rsid w:val="001C3D2A"/>
    <w:rsid w:val="001D51BA"/>
    <w:rsid w:val="001D53E7"/>
    <w:rsid w:val="001D6342"/>
    <w:rsid w:val="001D6D53"/>
    <w:rsid w:val="001E58E2"/>
    <w:rsid w:val="001E6BB8"/>
    <w:rsid w:val="001E7AED"/>
    <w:rsid w:val="001F3916"/>
    <w:rsid w:val="001F54C5"/>
    <w:rsid w:val="001F662C"/>
    <w:rsid w:val="001F7074"/>
    <w:rsid w:val="001F7B97"/>
    <w:rsid w:val="00200490"/>
    <w:rsid w:val="002012F0"/>
    <w:rsid w:val="00201F3A"/>
    <w:rsid w:val="00203F96"/>
    <w:rsid w:val="002069B2"/>
    <w:rsid w:val="00207FA3"/>
    <w:rsid w:val="00210042"/>
    <w:rsid w:val="002109A3"/>
    <w:rsid w:val="002145EC"/>
    <w:rsid w:val="00214DA8"/>
    <w:rsid w:val="00215423"/>
    <w:rsid w:val="002158FA"/>
    <w:rsid w:val="00220600"/>
    <w:rsid w:val="002217C6"/>
    <w:rsid w:val="0022183C"/>
    <w:rsid w:val="002224DB"/>
    <w:rsid w:val="00223FCB"/>
    <w:rsid w:val="002252C3"/>
    <w:rsid w:val="00225C54"/>
    <w:rsid w:val="00226726"/>
    <w:rsid w:val="00227521"/>
    <w:rsid w:val="00227C07"/>
    <w:rsid w:val="00230337"/>
    <w:rsid w:val="00230765"/>
    <w:rsid w:val="00230D18"/>
    <w:rsid w:val="002319E4"/>
    <w:rsid w:val="002325B3"/>
    <w:rsid w:val="0023289A"/>
    <w:rsid w:val="0023552F"/>
    <w:rsid w:val="00235632"/>
    <w:rsid w:val="00235872"/>
    <w:rsid w:val="00241559"/>
    <w:rsid w:val="002435B3"/>
    <w:rsid w:val="00245507"/>
    <w:rsid w:val="002458EB"/>
    <w:rsid w:val="002468FB"/>
    <w:rsid w:val="002500C8"/>
    <w:rsid w:val="002514A0"/>
    <w:rsid w:val="00252974"/>
    <w:rsid w:val="00257543"/>
    <w:rsid w:val="002617E7"/>
    <w:rsid w:val="00264228"/>
    <w:rsid w:val="00264334"/>
    <w:rsid w:val="00264643"/>
    <w:rsid w:val="0026473E"/>
    <w:rsid w:val="00266214"/>
    <w:rsid w:val="00267C83"/>
    <w:rsid w:val="0027144F"/>
    <w:rsid w:val="00271813"/>
    <w:rsid w:val="00271F3A"/>
    <w:rsid w:val="00273278"/>
    <w:rsid w:val="002737F4"/>
    <w:rsid w:val="0028031F"/>
    <w:rsid w:val="002805F5"/>
    <w:rsid w:val="00280751"/>
    <w:rsid w:val="0028280A"/>
    <w:rsid w:val="00283672"/>
    <w:rsid w:val="00286ACD"/>
    <w:rsid w:val="00287838"/>
    <w:rsid w:val="00290150"/>
    <w:rsid w:val="002907B5"/>
    <w:rsid w:val="00292EB7"/>
    <w:rsid w:val="00293CA7"/>
    <w:rsid w:val="00296227"/>
    <w:rsid w:val="00296F44"/>
    <w:rsid w:val="0029777D"/>
    <w:rsid w:val="002A055E"/>
    <w:rsid w:val="002A1D4E"/>
    <w:rsid w:val="002A2869"/>
    <w:rsid w:val="002A68DA"/>
    <w:rsid w:val="002A7DCF"/>
    <w:rsid w:val="002B1E1F"/>
    <w:rsid w:val="002B249C"/>
    <w:rsid w:val="002B24D6"/>
    <w:rsid w:val="002C0F29"/>
    <w:rsid w:val="002C41E6"/>
    <w:rsid w:val="002D071A"/>
    <w:rsid w:val="002D1777"/>
    <w:rsid w:val="002D34B2"/>
    <w:rsid w:val="002D48B0"/>
    <w:rsid w:val="002D57E1"/>
    <w:rsid w:val="002D5B37"/>
    <w:rsid w:val="002D7637"/>
    <w:rsid w:val="002E021C"/>
    <w:rsid w:val="002E1270"/>
    <w:rsid w:val="002E17F2"/>
    <w:rsid w:val="002E2688"/>
    <w:rsid w:val="002E7CAE"/>
    <w:rsid w:val="002F13E4"/>
    <w:rsid w:val="002F2771"/>
    <w:rsid w:val="002F37A9"/>
    <w:rsid w:val="002F62B8"/>
    <w:rsid w:val="002F6721"/>
    <w:rsid w:val="00301CE6"/>
    <w:rsid w:val="0030256B"/>
    <w:rsid w:val="00304348"/>
    <w:rsid w:val="0030501F"/>
    <w:rsid w:val="00307BA1"/>
    <w:rsid w:val="00311702"/>
    <w:rsid w:val="00311E82"/>
    <w:rsid w:val="00313FD6"/>
    <w:rsid w:val="003143BD"/>
    <w:rsid w:val="00315363"/>
    <w:rsid w:val="003203ED"/>
    <w:rsid w:val="0032296A"/>
    <w:rsid w:val="00322C9F"/>
    <w:rsid w:val="00324A45"/>
    <w:rsid w:val="00324D23"/>
    <w:rsid w:val="00331751"/>
    <w:rsid w:val="003332DC"/>
    <w:rsid w:val="00334579"/>
    <w:rsid w:val="003345A4"/>
    <w:rsid w:val="00335858"/>
    <w:rsid w:val="00336BDA"/>
    <w:rsid w:val="00342BD7"/>
    <w:rsid w:val="003450D2"/>
    <w:rsid w:val="00346DB5"/>
    <w:rsid w:val="003477B1"/>
    <w:rsid w:val="00352254"/>
    <w:rsid w:val="003536FF"/>
    <w:rsid w:val="00357380"/>
    <w:rsid w:val="003602D9"/>
    <w:rsid w:val="003604CE"/>
    <w:rsid w:val="00370E47"/>
    <w:rsid w:val="00373050"/>
    <w:rsid w:val="003742AC"/>
    <w:rsid w:val="0037452D"/>
    <w:rsid w:val="0037488C"/>
    <w:rsid w:val="00377CE1"/>
    <w:rsid w:val="00381A53"/>
    <w:rsid w:val="00384341"/>
    <w:rsid w:val="003851B2"/>
    <w:rsid w:val="00385BF0"/>
    <w:rsid w:val="003939FF"/>
    <w:rsid w:val="003A2223"/>
    <w:rsid w:val="003A2A0F"/>
    <w:rsid w:val="003A45A1"/>
    <w:rsid w:val="003A5B0A"/>
    <w:rsid w:val="003A6BAC"/>
    <w:rsid w:val="003A70A4"/>
    <w:rsid w:val="003A7EF3"/>
    <w:rsid w:val="003B02C5"/>
    <w:rsid w:val="003B159C"/>
    <w:rsid w:val="003B369F"/>
    <w:rsid w:val="003B36A3"/>
    <w:rsid w:val="003B64BB"/>
    <w:rsid w:val="003B7FE5"/>
    <w:rsid w:val="003C11C8"/>
    <w:rsid w:val="003C2702"/>
    <w:rsid w:val="003C54E4"/>
    <w:rsid w:val="003C7806"/>
    <w:rsid w:val="003D109F"/>
    <w:rsid w:val="003D2478"/>
    <w:rsid w:val="003D2E81"/>
    <w:rsid w:val="003D3C45"/>
    <w:rsid w:val="003D5B1F"/>
    <w:rsid w:val="003E15FA"/>
    <w:rsid w:val="003E55E4"/>
    <w:rsid w:val="003E74E3"/>
    <w:rsid w:val="003F05C7"/>
    <w:rsid w:val="003F2CD4"/>
    <w:rsid w:val="003F6236"/>
    <w:rsid w:val="003F6BBE"/>
    <w:rsid w:val="004000E8"/>
    <w:rsid w:val="00402E2B"/>
    <w:rsid w:val="0040512B"/>
    <w:rsid w:val="00405CA5"/>
    <w:rsid w:val="00407CD3"/>
    <w:rsid w:val="00410134"/>
    <w:rsid w:val="00410B72"/>
    <w:rsid w:val="00410F18"/>
    <w:rsid w:val="0041263E"/>
    <w:rsid w:val="00413AAC"/>
    <w:rsid w:val="00413E92"/>
    <w:rsid w:val="00420E03"/>
    <w:rsid w:val="00421105"/>
    <w:rsid w:val="00422AA4"/>
    <w:rsid w:val="00422CC1"/>
    <w:rsid w:val="004242F4"/>
    <w:rsid w:val="00427248"/>
    <w:rsid w:val="00437447"/>
    <w:rsid w:val="00441A92"/>
    <w:rsid w:val="00442AF1"/>
    <w:rsid w:val="004431DC"/>
    <w:rsid w:val="0044434D"/>
    <w:rsid w:val="004447A3"/>
    <w:rsid w:val="00444F56"/>
    <w:rsid w:val="00446488"/>
    <w:rsid w:val="004467CC"/>
    <w:rsid w:val="00450E35"/>
    <w:rsid w:val="004517AA"/>
    <w:rsid w:val="00452CAC"/>
    <w:rsid w:val="0045670F"/>
    <w:rsid w:val="00457565"/>
    <w:rsid w:val="00457B71"/>
    <w:rsid w:val="00464689"/>
    <w:rsid w:val="00465C73"/>
    <w:rsid w:val="004669E2"/>
    <w:rsid w:val="00466ECF"/>
    <w:rsid w:val="004703CA"/>
    <w:rsid w:val="00470C31"/>
    <w:rsid w:val="00471DE0"/>
    <w:rsid w:val="004725E3"/>
    <w:rsid w:val="004734D0"/>
    <w:rsid w:val="004745AE"/>
    <w:rsid w:val="0047556B"/>
    <w:rsid w:val="00476E31"/>
    <w:rsid w:val="00477768"/>
    <w:rsid w:val="00480A80"/>
    <w:rsid w:val="00483FF9"/>
    <w:rsid w:val="004857ED"/>
    <w:rsid w:val="004879A2"/>
    <w:rsid w:val="00490DA4"/>
    <w:rsid w:val="00492BC5"/>
    <w:rsid w:val="004964F1"/>
    <w:rsid w:val="00497FA8"/>
    <w:rsid w:val="004A16BC"/>
    <w:rsid w:val="004A2B94"/>
    <w:rsid w:val="004B1713"/>
    <w:rsid w:val="004B6535"/>
    <w:rsid w:val="004B6F6A"/>
    <w:rsid w:val="004B70DD"/>
    <w:rsid w:val="004B7C0C"/>
    <w:rsid w:val="004C3898"/>
    <w:rsid w:val="004D36B1"/>
    <w:rsid w:val="004D6E3A"/>
    <w:rsid w:val="004D7EBD"/>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50511F"/>
    <w:rsid w:val="00506557"/>
    <w:rsid w:val="00506699"/>
    <w:rsid w:val="0050677A"/>
    <w:rsid w:val="005108D8"/>
    <w:rsid w:val="005116F9"/>
    <w:rsid w:val="00513D31"/>
    <w:rsid w:val="00514934"/>
    <w:rsid w:val="005153A7"/>
    <w:rsid w:val="005219CF"/>
    <w:rsid w:val="00524189"/>
    <w:rsid w:val="00534A78"/>
    <w:rsid w:val="00534B59"/>
    <w:rsid w:val="00534BA9"/>
    <w:rsid w:val="00536759"/>
    <w:rsid w:val="00537C62"/>
    <w:rsid w:val="00540155"/>
    <w:rsid w:val="00546970"/>
    <w:rsid w:val="0055354D"/>
    <w:rsid w:val="00554E19"/>
    <w:rsid w:val="00557CCB"/>
    <w:rsid w:val="0056121F"/>
    <w:rsid w:val="00565B08"/>
    <w:rsid w:val="005707C0"/>
    <w:rsid w:val="00572505"/>
    <w:rsid w:val="005748A6"/>
    <w:rsid w:val="00575C3E"/>
    <w:rsid w:val="005769DD"/>
    <w:rsid w:val="005770D4"/>
    <w:rsid w:val="00582809"/>
    <w:rsid w:val="005862C1"/>
    <w:rsid w:val="005877C9"/>
    <w:rsid w:val="0058798C"/>
    <w:rsid w:val="005900FA"/>
    <w:rsid w:val="005935A4"/>
    <w:rsid w:val="005948C2"/>
    <w:rsid w:val="00595DCA"/>
    <w:rsid w:val="0059779B"/>
    <w:rsid w:val="005A07E7"/>
    <w:rsid w:val="005A209A"/>
    <w:rsid w:val="005A5184"/>
    <w:rsid w:val="005A662D"/>
    <w:rsid w:val="005B1409"/>
    <w:rsid w:val="005B35D7"/>
    <w:rsid w:val="005B392A"/>
    <w:rsid w:val="005B3AA3"/>
    <w:rsid w:val="005B6A80"/>
    <w:rsid w:val="005B6F83"/>
    <w:rsid w:val="005C74FB"/>
    <w:rsid w:val="005D1602"/>
    <w:rsid w:val="005D16B7"/>
    <w:rsid w:val="005D396B"/>
    <w:rsid w:val="005E385F"/>
    <w:rsid w:val="005E5B81"/>
    <w:rsid w:val="005F27B9"/>
    <w:rsid w:val="005F2CB1"/>
    <w:rsid w:val="005F3025"/>
    <w:rsid w:val="005F5416"/>
    <w:rsid w:val="005F618C"/>
    <w:rsid w:val="005F70BD"/>
    <w:rsid w:val="0060283C"/>
    <w:rsid w:val="00604F14"/>
    <w:rsid w:val="00611B83"/>
    <w:rsid w:val="00613257"/>
    <w:rsid w:val="00620A71"/>
    <w:rsid w:val="00620D80"/>
    <w:rsid w:val="0062270E"/>
    <w:rsid w:val="006234A6"/>
    <w:rsid w:val="0062503E"/>
    <w:rsid w:val="00630001"/>
    <w:rsid w:val="006311B3"/>
    <w:rsid w:val="0063284C"/>
    <w:rsid w:val="00636398"/>
    <w:rsid w:val="006368D3"/>
    <w:rsid w:val="006377EC"/>
    <w:rsid w:val="00637F6A"/>
    <w:rsid w:val="0064151F"/>
    <w:rsid w:val="00641533"/>
    <w:rsid w:val="00641C64"/>
    <w:rsid w:val="0064208D"/>
    <w:rsid w:val="00642E08"/>
    <w:rsid w:val="00643475"/>
    <w:rsid w:val="0064396A"/>
    <w:rsid w:val="00644221"/>
    <w:rsid w:val="0064624E"/>
    <w:rsid w:val="00650AB9"/>
    <w:rsid w:val="00655733"/>
    <w:rsid w:val="00655ACD"/>
    <w:rsid w:val="00656A92"/>
    <w:rsid w:val="00656DDE"/>
    <w:rsid w:val="0066011D"/>
    <w:rsid w:val="006606E8"/>
    <w:rsid w:val="006607C0"/>
    <w:rsid w:val="006613A6"/>
    <w:rsid w:val="006627A2"/>
    <w:rsid w:val="006634E6"/>
    <w:rsid w:val="006655EE"/>
    <w:rsid w:val="00665B93"/>
    <w:rsid w:val="00667EE7"/>
    <w:rsid w:val="00670922"/>
    <w:rsid w:val="00670BE1"/>
    <w:rsid w:val="0067218F"/>
    <w:rsid w:val="006741F2"/>
    <w:rsid w:val="00674CC3"/>
    <w:rsid w:val="00675150"/>
    <w:rsid w:val="00675C72"/>
    <w:rsid w:val="006771F9"/>
    <w:rsid w:val="006776D7"/>
    <w:rsid w:val="00681003"/>
    <w:rsid w:val="006817C9"/>
    <w:rsid w:val="00683ECE"/>
    <w:rsid w:val="006842D5"/>
    <w:rsid w:val="00685106"/>
    <w:rsid w:val="00695FC2"/>
    <w:rsid w:val="00696949"/>
    <w:rsid w:val="00697052"/>
    <w:rsid w:val="0069753C"/>
    <w:rsid w:val="006A1146"/>
    <w:rsid w:val="006A23FD"/>
    <w:rsid w:val="006A46FB"/>
    <w:rsid w:val="006A5E28"/>
    <w:rsid w:val="006A6972"/>
    <w:rsid w:val="006A697B"/>
    <w:rsid w:val="006A7AFF"/>
    <w:rsid w:val="006B1816"/>
    <w:rsid w:val="006B2099"/>
    <w:rsid w:val="006B50CF"/>
    <w:rsid w:val="006C03B8"/>
    <w:rsid w:val="006C5EC9"/>
    <w:rsid w:val="006C6059"/>
    <w:rsid w:val="006C7522"/>
    <w:rsid w:val="006D0432"/>
    <w:rsid w:val="006D33C5"/>
    <w:rsid w:val="006D3500"/>
    <w:rsid w:val="006D494E"/>
    <w:rsid w:val="006D6F08"/>
    <w:rsid w:val="006E062C"/>
    <w:rsid w:val="006E1C82"/>
    <w:rsid w:val="006E28B7"/>
    <w:rsid w:val="006E2A9B"/>
    <w:rsid w:val="006E3310"/>
    <w:rsid w:val="006E33CD"/>
    <w:rsid w:val="006E4E39"/>
    <w:rsid w:val="006E565E"/>
    <w:rsid w:val="006E673D"/>
    <w:rsid w:val="006E7D3B"/>
    <w:rsid w:val="006F1B70"/>
    <w:rsid w:val="006F22F7"/>
    <w:rsid w:val="006F341D"/>
    <w:rsid w:val="006F3CDE"/>
    <w:rsid w:val="006F58D4"/>
    <w:rsid w:val="006F6582"/>
    <w:rsid w:val="006F76B1"/>
    <w:rsid w:val="007012A5"/>
    <w:rsid w:val="007033F4"/>
    <w:rsid w:val="0070346E"/>
    <w:rsid w:val="00704EDB"/>
    <w:rsid w:val="0070539B"/>
    <w:rsid w:val="00706101"/>
    <w:rsid w:val="00707072"/>
    <w:rsid w:val="00707D61"/>
    <w:rsid w:val="00712287"/>
    <w:rsid w:val="00712772"/>
    <w:rsid w:val="007148D3"/>
    <w:rsid w:val="00715B9A"/>
    <w:rsid w:val="00720460"/>
    <w:rsid w:val="00721B32"/>
    <w:rsid w:val="007257D0"/>
    <w:rsid w:val="00725BB7"/>
    <w:rsid w:val="0072671C"/>
    <w:rsid w:val="00726EA6"/>
    <w:rsid w:val="00727208"/>
    <w:rsid w:val="00727680"/>
    <w:rsid w:val="00732224"/>
    <w:rsid w:val="007348B1"/>
    <w:rsid w:val="007362A6"/>
    <w:rsid w:val="00736D7D"/>
    <w:rsid w:val="00740E58"/>
    <w:rsid w:val="007445A0"/>
    <w:rsid w:val="0074524B"/>
    <w:rsid w:val="00747D8B"/>
    <w:rsid w:val="00751228"/>
    <w:rsid w:val="00751BFE"/>
    <w:rsid w:val="007571E1"/>
    <w:rsid w:val="007604B2"/>
    <w:rsid w:val="00761A64"/>
    <w:rsid w:val="00765281"/>
    <w:rsid w:val="00766BAD"/>
    <w:rsid w:val="007729A2"/>
    <w:rsid w:val="007739A6"/>
    <w:rsid w:val="007755F2"/>
    <w:rsid w:val="00776971"/>
    <w:rsid w:val="00780A80"/>
    <w:rsid w:val="0078177E"/>
    <w:rsid w:val="0078304C"/>
    <w:rsid w:val="00783673"/>
    <w:rsid w:val="00785490"/>
    <w:rsid w:val="0079069A"/>
    <w:rsid w:val="007925EA"/>
    <w:rsid w:val="00793CD8"/>
    <w:rsid w:val="007959E8"/>
    <w:rsid w:val="00795C92"/>
    <w:rsid w:val="00796231"/>
    <w:rsid w:val="007A1CB3"/>
    <w:rsid w:val="007A306F"/>
    <w:rsid w:val="007A4096"/>
    <w:rsid w:val="007A43A6"/>
    <w:rsid w:val="007A44B6"/>
    <w:rsid w:val="007A58A6"/>
    <w:rsid w:val="007B1785"/>
    <w:rsid w:val="007B243D"/>
    <w:rsid w:val="007B3D2D"/>
    <w:rsid w:val="007B50AE"/>
    <w:rsid w:val="007B51DF"/>
    <w:rsid w:val="007C05DD"/>
    <w:rsid w:val="007C3D18"/>
    <w:rsid w:val="007C60BF"/>
    <w:rsid w:val="007C644C"/>
    <w:rsid w:val="007C6A07"/>
    <w:rsid w:val="007C75A1"/>
    <w:rsid w:val="007C77A5"/>
    <w:rsid w:val="007D04E5"/>
    <w:rsid w:val="007D0F9E"/>
    <w:rsid w:val="007D279C"/>
    <w:rsid w:val="007D5467"/>
    <w:rsid w:val="007D5901"/>
    <w:rsid w:val="007D627C"/>
    <w:rsid w:val="007D7526"/>
    <w:rsid w:val="007E4610"/>
    <w:rsid w:val="007E4715"/>
    <w:rsid w:val="007E505B"/>
    <w:rsid w:val="007E7091"/>
    <w:rsid w:val="007F04A4"/>
    <w:rsid w:val="007F6831"/>
    <w:rsid w:val="00803FAE"/>
    <w:rsid w:val="00804048"/>
    <w:rsid w:val="0080605F"/>
    <w:rsid w:val="00807786"/>
    <w:rsid w:val="00811FCB"/>
    <w:rsid w:val="00812783"/>
    <w:rsid w:val="008157A8"/>
    <w:rsid w:val="008158D6"/>
    <w:rsid w:val="00817196"/>
    <w:rsid w:val="00823237"/>
    <w:rsid w:val="008235DB"/>
    <w:rsid w:val="00824AB4"/>
    <w:rsid w:val="00825C42"/>
    <w:rsid w:val="00825D25"/>
    <w:rsid w:val="00827D6F"/>
    <w:rsid w:val="0083546B"/>
    <w:rsid w:val="008376AC"/>
    <w:rsid w:val="008426BD"/>
    <w:rsid w:val="00843628"/>
    <w:rsid w:val="008444E8"/>
    <w:rsid w:val="00844E80"/>
    <w:rsid w:val="00846FE7"/>
    <w:rsid w:val="00856911"/>
    <w:rsid w:val="00860058"/>
    <w:rsid w:val="00862BCA"/>
    <w:rsid w:val="008677FD"/>
    <w:rsid w:val="008706D4"/>
    <w:rsid w:val="00870F8A"/>
    <w:rsid w:val="008719A4"/>
    <w:rsid w:val="00871D23"/>
    <w:rsid w:val="00874312"/>
    <w:rsid w:val="0087437C"/>
    <w:rsid w:val="00875CD7"/>
    <w:rsid w:val="00876B4D"/>
    <w:rsid w:val="00877456"/>
    <w:rsid w:val="00877F18"/>
    <w:rsid w:val="00886936"/>
    <w:rsid w:val="00887EAA"/>
    <w:rsid w:val="008941E3"/>
    <w:rsid w:val="00894988"/>
    <w:rsid w:val="00894A88"/>
    <w:rsid w:val="00895386"/>
    <w:rsid w:val="008962D8"/>
    <w:rsid w:val="008A21FF"/>
    <w:rsid w:val="008A2933"/>
    <w:rsid w:val="008A2CE2"/>
    <w:rsid w:val="008A30AC"/>
    <w:rsid w:val="008A44B8"/>
    <w:rsid w:val="008A51A8"/>
    <w:rsid w:val="008A54C7"/>
    <w:rsid w:val="008A77D8"/>
    <w:rsid w:val="008B0483"/>
    <w:rsid w:val="008B0997"/>
    <w:rsid w:val="008B120C"/>
    <w:rsid w:val="008B2285"/>
    <w:rsid w:val="008B2650"/>
    <w:rsid w:val="008B2FE1"/>
    <w:rsid w:val="008B51A0"/>
    <w:rsid w:val="008B592A"/>
    <w:rsid w:val="008B7B5C"/>
    <w:rsid w:val="008C0C99"/>
    <w:rsid w:val="008C2017"/>
    <w:rsid w:val="008C36D5"/>
    <w:rsid w:val="008C4958"/>
    <w:rsid w:val="008C4BAA"/>
    <w:rsid w:val="008C6AE8"/>
    <w:rsid w:val="008C6DED"/>
    <w:rsid w:val="008C7573"/>
    <w:rsid w:val="008D00A5"/>
    <w:rsid w:val="008D34F1"/>
    <w:rsid w:val="008D39D8"/>
    <w:rsid w:val="008D6D1A"/>
    <w:rsid w:val="008D7574"/>
    <w:rsid w:val="008E02BB"/>
    <w:rsid w:val="008E065E"/>
    <w:rsid w:val="008E0927"/>
    <w:rsid w:val="008E1909"/>
    <w:rsid w:val="008E3A8C"/>
    <w:rsid w:val="008E3B8C"/>
    <w:rsid w:val="008E76AE"/>
    <w:rsid w:val="008F1C4E"/>
    <w:rsid w:val="008F1EAB"/>
    <w:rsid w:val="008F33DC"/>
    <w:rsid w:val="008F3DA3"/>
    <w:rsid w:val="008F477F"/>
    <w:rsid w:val="008F73ED"/>
    <w:rsid w:val="00902350"/>
    <w:rsid w:val="00902617"/>
    <w:rsid w:val="0090336B"/>
    <w:rsid w:val="009053AA"/>
    <w:rsid w:val="00905F25"/>
    <w:rsid w:val="00906939"/>
    <w:rsid w:val="00910B7D"/>
    <w:rsid w:val="00911DFB"/>
    <w:rsid w:val="00912186"/>
    <w:rsid w:val="009139D9"/>
    <w:rsid w:val="00914AD8"/>
    <w:rsid w:val="00916079"/>
    <w:rsid w:val="00917CE9"/>
    <w:rsid w:val="0092075B"/>
    <w:rsid w:val="00920BF2"/>
    <w:rsid w:val="00920EFD"/>
    <w:rsid w:val="00922010"/>
    <w:rsid w:val="009274D0"/>
    <w:rsid w:val="00931BD9"/>
    <w:rsid w:val="009368F3"/>
    <w:rsid w:val="00941636"/>
    <w:rsid w:val="00943742"/>
    <w:rsid w:val="0094407C"/>
    <w:rsid w:val="0094520A"/>
    <w:rsid w:val="00945C05"/>
    <w:rsid w:val="00946945"/>
    <w:rsid w:val="00947713"/>
    <w:rsid w:val="00950DE7"/>
    <w:rsid w:val="009538EC"/>
    <w:rsid w:val="00953920"/>
    <w:rsid w:val="00953D47"/>
    <w:rsid w:val="0095681E"/>
    <w:rsid w:val="009572D4"/>
    <w:rsid w:val="00961921"/>
    <w:rsid w:val="00963041"/>
    <w:rsid w:val="0096430A"/>
    <w:rsid w:val="0096554B"/>
    <w:rsid w:val="0096584A"/>
    <w:rsid w:val="009677E5"/>
    <w:rsid w:val="00970B61"/>
    <w:rsid w:val="00971F08"/>
    <w:rsid w:val="00973EF5"/>
    <w:rsid w:val="00975235"/>
    <w:rsid w:val="009755F1"/>
    <w:rsid w:val="0097603D"/>
    <w:rsid w:val="00976949"/>
    <w:rsid w:val="00980477"/>
    <w:rsid w:val="0098071F"/>
    <w:rsid w:val="00985253"/>
    <w:rsid w:val="009853B3"/>
    <w:rsid w:val="00987A5B"/>
    <w:rsid w:val="00990630"/>
    <w:rsid w:val="009910C5"/>
    <w:rsid w:val="00991761"/>
    <w:rsid w:val="00994DCA"/>
    <w:rsid w:val="009960EC"/>
    <w:rsid w:val="00996AA7"/>
    <w:rsid w:val="009970DD"/>
    <w:rsid w:val="009A0FBA"/>
    <w:rsid w:val="009A1601"/>
    <w:rsid w:val="009A3BB6"/>
    <w:rsid w:val="009A462D"/>
    <w:rsid w:val="009A5CBA"/>
    <w:rsid w:val="009B1F30"/>
    <w:rsid w:val="009B2926"/>
    <w:rsid w:val="009B3AC2"/>
    <w:rsid w:val="009B3BCD"/>
    <w:rsid w:val="009B3E54"/>
    <w:rsid w:val="009B4722"/>
    <w:rsid w:val="009B4DF4"/>
    <w:rsid w:val="009B564E"/>
    <w:rsid w:val="009B7E87"/>
    <w:rsid w:val="009C0169"/>
    <w:rsid w:val="009C2001"/>
    <w:rsid w:val="009C3F17"/>
    <w:rsid w:val="009C403E"/>
    <w:rsid w:val="009D26C0"/>
    <w:rsid w:val="009D4FF0"/>
    <w:rsid w:val="009D6162"/>
    <w:rsid w:val="009D703C"/>
    <w:rsid w:val="009D718F"/>
    <w:rsid w:val="009E068F"/>
    <w:rsid w:val="009E14E0"/>
    <w:rsid w:val="009E35DB"/>
    <w:rsid w:val="009E3A5D"/>
    <w:rsid w:val="009E4662"/>
    <w:rsid w:val="009E47A3"/>
    <w:rsid w:val="009E584D"/>
    <w:rsid w:val="009F08F3"/>
    <w:rsid w:val="009F22B9"/>
    <w:rsid w:val="009F344F"/>
    <w:rsid w:val="009F4799"/>
    <w:rsid w:val="00A031D8"/>
    <w:rsid w:val="00A03F90"/>
    <w:rsid w:val="00A048A8"/>
    <w:rsid w:val="00A04F49"/>
    <w:rsid w:val="00A07A68"/>
    <w:rsid w:val="00A13E54"/>
    <w:rsid w:val="00A17F63"/>
    <w:rsid w:val="00A21678"/>
    <w:rsid w:val="00A2193B"/>
    <w:rsid w:val="00A2351A"/>
    <w:rsid w:val="00A264A9"/>
    <w:rsid w:val="00A26DCF"/>
    <w:rsid w:val="00A27785"/>
    <w:rsid w:val="00A30187"/>
    <w:rsid w:val="00A326D5"/>
    <w:rsid w:val="00A3448A"/>
    <w:rsid w:val="00A34DF6"/>
    <w:rsid w:val="00A36297"/>
    <w:rsid w:val="00A41E2B"/>
    <w:rsid w:val="00A4371B"/>
    <w:rsid w:val="00A45B74"/>
    <w:rsid w:val="00A52E1D"/>
    <w:rsid w:val="00A61499"/>
    <w:rsid w:val="00A62A77"/>
    <w:rsid w:val="00A63483"/>
    <w:rsid w:val="00A657D7"/>
    <w:rsid w:val="00A65E04"/>
    <w:rsid w:val="00A660AC"/>
    <w:rsid w:val="00A67E6C"/>
    <w:rsid w:val="00A71B99"/>
    <w:rsid w:val="00A739D0"/>
    <w:rsid w:val="00A761D4"/>
    <w:rsid w:val="00A77EC4"/>
    <w:rsid w:val="00A83D5E"/>
    <w:rsid w:val="00A8725A"/>
    <w:rsid w:val="00A92879"/>
    <w:rsid w:val="00A9442A"/>
    <w:rsid w:val="00AA016F"/>
    <w:rsid w:val="00AA1ED6"/>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F94"/>
    <w:rsid w:val="00AD4A5A"/>
    <w:rsid w:val="00AE18DC"/>
    <w:rsid w:val="00AE27AC"/>
    <w:rsid w:val="00AE40E0"/>
    <w:rsid w:val="00AE4298"/>
    <w:rsid w:val="00AE4DBA"/>
    <w:rsid w:val="00AE4F07"/>
    <w:rsid w:val="00AE5032"/>
    <w:rsid w:val="00AF1816"/>
    <w:rsid w:val="00AF1C5D"/>
    <w:rsid w:val="00AF42D7"/>
    <w:rsid w:val="00AF6629"/>
    <w:rsid w:val="00B006FE"/>
    <w:rsid w:val="00B007CB"/>
    <w:rsid w:val="00B02AA9"/>
    <w:rsid w:val="00B02FA3"/>
    <w:rsid w:val="00B030EF"/>
    <w:rsid w:val="00B05084"/>
    <w:rsid w:val="00B157F9"/>
    <w:rsid w:val="00B15B19"/>
    <w:rsid w:val="00B15EE2"/>
    <w:rsid w:val="00B17BC2"/>
    <w:rsid w:val="00B20256"/>
    <w:rsid w:val="00B20D09"/>
    <w:rsid w:val="00B2763F"/>
    <w:rsid w:val="00B27AAC"/>
    <w:rsid w:val="00B30929"/>
    <w:rsid w:val="00B31E76"/>
    <w:rsid w:val="00B354B9"/>
    <w:rsid w:val="00B372AA"/>
    <w:rsid w:val="00B402BB"/>
    <w:rsid w:val="00B40445"/>
    <w:rsid w:val="00B409E0"/>
    <w:rsid w:val="00B41888"/>
    <w:rsid w:val="00B45A52"/>
    <w:rsid w:val="00B46175"/>
    <w:rsid w:val="00B462CD"/>
    <w:rsid w:val="00B548B7"/>
    <w:rsid w:val="00B607E8"/>
    <w:rsid w:val="00B63866"/>
    <w:rsid w:val="00B664C7"/>
    <w:rsid w:val="00B7002C"/>
    <w:rsid w:val="00B713D8"/>
    <w:rsid w:val="00B73043"/>
    <w:rsid w:val="00B739F6"/>
    <w:rsid w:val="00B750B1"/>
    <w:rsid w:val="00B81A6C"/>
    <w:rsid w:val="00B83D1B"/>
    <w:rsid w:val="00B84807"/>
    <w:rsid w:val="00B85DE5"/>
    <w:rsid w:val="00B90F73"/>
    <w:rsid w:val="00B9151F"/>
    <w:rsid w:val="00B918C5"/>
    <w:rsid w:val="00B93B59"/>
    <w:rsid w:val="00B93C83"/>
    <w:rsid w:val="00B9406A"/>
    <w:rsid w:val="00BA0A3E"/>
    <w:rsid w:val="00BA2280"/>
    <w:rsid w:val="00BA2A08"/>
    <w:rsid w:val="00BA2DC8"/>
    <w:rsid w:val="00BA56D2"/>
    <w:rsid w:val="00BA6873"/>
    <w:rsid w:val="00BA76E0"/>
    <w:rsid w:val="00BB0C92"/>
    <w:rsid w:val="00BB2A25"/>
    <w:rsid w:val="00BB51E9"/>
    <w:rsid w:val="00BB6F99"/>
    <w:rsid w:val="00BC0FDC"/>
    <w:rsid w:val="00BC3053"/>
    <w:rsid w:val="00BC4D2E"/>
    <w:rsid w:val="00BD48AC"/>
    <w:rsid w:val="00BD5F1A"/>
    <w:rsid w:val="00BE1234"/>
    <w:rsid w:val="00BE2FA6"/>
    <w:rsid w:val="00BE3082"/>
    <w:rsid w:val="00BE333F"/>
    <w:rsid w:val="00BE7406"/>
    <w:rsid w:val="00BE7603"/>
    <w:rsid w:val="00BF3279"/>
    <w:rsid w:val="00BF6A39"/>
    <w:rsid w:val="00BF74C7"/>
    <w:rsid w:val="00C015F1"/>
    <w:rsid w:val="00C01F33"/>
    <w:rsid w:val="00C02CC6"/>
    <w:rsid w:val="00C040F7"/>
    <w:rsid w:val="00C044AB"/>
    <w:rsid w:val="00C05706"/>
    <w:rsid w:val="00C06C4F"/>
    <w:rsid w:val="00C07377"/>
    <w:rsid w:val="00C10478"/>
    <w:rsid w:val="00C10E55"/>
    <w:rsid w:val="00C12107"/>
    <w:rsid w:val="00C126E9"/>
    <w:rsid w:val="00C14D4B"/>
    <w:rsid w:val="00C154BB"/>
    <w:rsid w:val="00C15927"/>
    <w:rsid w:val="00C168A9"/>
    <w:rsid w:val="00C17712"/>
    <w:rsid w:val="00C20C4C"/>
    <w:rsid w:val="00C279B5"/>
    <w:rsid w:val="00C27C45"/>
    <w:rsid w:val="00C3719D"/>
    <w:rsid w:val="00C37CB2"/>
    <w:rsid w:val="00C37E77"/>
    <w:rsid w:val="00C449C1"/>
    <w:rsid w:val="00C473A5"/>
    <w:rsid w:val="00C47CA4"/>
    <w:rsid w:val="00C54995"/>
    <w:rsid w:val="00C54D41"/>
    <w:rsid w:val="00C60783"/>
    <w:rsid w:val="00C64672"/>
    <w:rsid w:val="00C70697"/>
    <w:rsid w:val="00C70D8C"/>
    <w:rsid w:val="00C72093"/>
    <w:rsid w:val="00C72EF4"/>
    <w:rsid w:val="00C744FE"/>
    <w:rsid w:val="00C75D2F"/>
    <w:rsid w:val="00C767BE"/>
    <w:rsid w:val="00C76E05"/>
    <w:rsid w:val="00C76E3C"/>
    <w:rsid w:val="00C80C97"/>
    <w:rsid w:val="00C81568"/>
    <w:rsid w:val="00C9027A"/>
    <w:rsid w:val="00C9068E"/>
    <w:rsid w:val="00C93814"/>
    <w:rsid w:val="00C93C4B"/>
    <w:rsid w:val="00C944AB"/>
    <w:rsid w:val="00C95B40"/>
    <w:rsid w:val="00CA1ED8"/>
    <w:rsid w:val="00CB0BC0"/>
    <w:rsid w:val="00CB1F63"/>
    <w:rsid w:val="00CB3D2D"/>
    <w:rsid w:val="00CB4A75"/>
    <w:rsid w:val="00CB7170"/>
    <w:rsid w:val="00CB7F2C"/>
    <w:rsid w:val="00CC040E"/>
    <w:rsid w:val="00CC0D31"/>
    <w:rsid w:val="00CC111F"/>
    <w:rsid w:val="00CC2011"/>
    <w:rsid w:val="00CC3EA0"/>
    <w:rsid w:val="00CC4966"/>
    <w:rsid w:val="00CC7B45"/>
    <w:rsid w:val="00CD1188"/>
    <w:rsid w:val="00CD2ED1"/>
    <w:rsid w:val="00CD337B"/>
    <w:rsid w:val="00CD33A0"/>
    <w:rsid w:val="00CD44DC"/>
    <w:rsid w:val="00CE0424"/>
    <w:rsid w:val="00CE27FB"/>
    <w:rsid w:val="00CE3784"/>
    <w:rsid w:val="00CE6867"/>
    <w:rsid w:val="00CE7561"/>
    <w:rsid w:val="00CE76F3"/>
    <w:rsid w:val="00CF1354"/>
    <w:rsid w:val="00CF2FF8"/>
    <w:rsid w:val="00CF3B1F"/>
    <w:rsid w:val="00CF3BF6"/>
    <w:rsid w:val="00CF625B"/>
    <w:rsid w:val="00CF687E"/>
    <w:rsid w:val="00CF752C"/>
    <w:rsid w:val="00D0349B"/>
    <w:rsid w:val="00D03C41"/>
    <w:rsid w:val="00D06FCC"/>
    <w:rsid w:val="00D10249"/>
    <w:rsid w:val="00D115C3"/>
    <w:rsid w:val="00D11897"/>
    <w:rsid w:val="00D13135"/>
    <w:rsid w:val="00D13AD1"/>
    <w:rsid w:val="00D13E4E"/>
    <w:rsid w:val="00D231E8"/>
    <w:rsid w:val="00D239A7"/>
    <w:rsid w:val="00D23F47"/>
    <w:rsid w:val="00D259A5"/>
    <w:rsid w:val="00D25F8F"/>
    <w:rsid w:val="00D30B88"/>
    <w:rsid w:val="00D31128"/>
    <w:rsid w:val="00D36E71"/>
    <w:rsid w:val="00D37D87"/>
    <w:rsid w:val="00D4064D"/>
    <w:rsid w:val="00D40B33"/>
    <w:rsid w:val="00D41BF5"/>
    <w:rsid w:val="00D4318F"/>
    <w:rsid w:val="00D438BF"/>
    <w:rsid w:val="00D440F8"/>
    <w:rsid w:val="00D5283B"/>
    <w:rsid w:val="00D538AE"/>
    <w:rsid w:val="00D546FF"/>
    <w:rsid w:val="00D55AD5"/>
    <w:rsid w:val="00D576CA"/>
    <w:rsid w:val="00D61AF5"/>
    <w:rsid w:val="00D636DC"/>
    <w:rsid w:val="00D652B5"/>
    <w:rsid w:val="00D66155"/>
    <w:rsid w:val="00D708B0"/>
    <w:rsid w:val="00D70AF9"/>
    <w:rsid w:val="00D7123E"/>
    <w:rsid w:val="00D74CDC"/>
    <w:rsid w:val="00D766A7"/>
    <w:rsid w:val="00D77B1D"/>
    <w:rsid w:val="00D8021F"/>
    <w:rsid w:val="00D80383"/>
    <w:rsid w:val="00D817BA"/>
    <w:rsid w:val="00D823C6"/>
    <w:rsid w:val="00D8327F"/>
    <w:rsid w:val="00D861B2"/>
    <w:rsid w:val="00D86CA3"/>
    <w:rsid w:val="00D871CE"/>
    <w:rsid w:val="00D9196D"/>
    <w:rsid w:val="00D92982"/>
    <w:rsid w:val="00DA305E"/>
    <w:rsid w:val="00DA5417"/>
    <w:rsid w:val="00DA56E8"/>
    <w:rsid w:val="00DB0A9F"/>
    <w:rsid w:val="00DB1F21"/>
    <w:rsid w:val="00DB377D"/>
    <w:rsid w:val="00DB42A7"/>
    <w:rsid w:val="00DB533C"/>
    <w:rsid w:val="00DC2D36"/>
    <w:rsid w:val="00DC53EF"/>
    <w:rsid w:val="00DD0097"/>
    <w:rsid w:val="00DE34FE"/>
    <w:rsid w:val="00DE5608"/>
    <w:rsid w:val="00DE58D0"/>
    <w:rsid w:val="00DE58DA"/>
    <w:rsid w:val="00DE654F"/>
    <w:rsid w:val="00DE784E"/>
    <w:rsid w:val="00DF0B6E"/>
    <w:rsid w:val="00DF15E0"/>
    <w:rsid w:val="00DF37A0"/>
    <w:rsid w:val="00DF7954"/>
    <w:rsid w:val="00DF88E7"/>
    <w:rsid w:val="00E03E41"/>
    <w:rsid w:val="00E110E7"/>
    <w:rsid w:val="00E11B20"/>
    <w:rsid w:val="00E17FA2"/>
    <w:rsid w:val="00E2217B"/>
    <w:rsid w:val="00E22330"/>
    <w:rsid w:val="00E22371"/>
    <w:rsid w:val="00E227F1"/>
    <w:rsid w:val="00E275A4"/>
    <w:rsid w:val="00E30B5A"/>
    <w:rsid w:val="00E3123D"/>
    <w:rsid w:val="00E31461"/>
    <w:rsid w:val="00E31D43"/>
    <w:rsid w:val="00E32608"/>
    <w:rsid w:val="00E33044"/>
    <w:rsid w:val="00E34188"/>
    <w:rsid w:val="00E344A2"/>
    <w:rsid w:val="00E34B6E"/>
    <w:rsid w:val="00E35559"/>
    <w:rsid w:val="00E3723A"/>
    <w:rsid w:val="00E37860"/>
    <w:rsid w:val="00E40BB4"/>
    <w:rsid w:val="00E446F1"/>
    <w:rsid w:val="00E46886"/>
    <w:rsid w:val="00E47AEF"/>
    <w:rsid w:val="00E53B75"/>
    <w:rsid w:val="00E54E3B"/>
    <w:rsid w:val="00E574B7"/>
    <w:rsid w:val="00E57565"/>
    <w:rsid w:val="00E60505"/>
    <w:rsid w:val="00E60B84"/>
    <w:rsid w:val="00E60C26"/>
    <w:rsid w:val="00E63838"/>
    <w:rsid w:val="00E64434"/>
    <w:rsid w:val="00E67C51"/>
    <w:rsid w:val="00E71BEA"/>
    <w:rsid w:val="00E72EFC"/>
    <w:rsid w:val="00E75331"/>
    <w:rsid w:val="00E758EC"/>
    <w:rsid w:val="00E8234C"/>
    <w:rsid w:val="00E83AA9"/>
    <w:rsid w:val="00E85928"/>
    <w:rsid w:val="00E87822"/>
    <w:rsid w:val="00E90395"/>
    <w:rsid w:val="00E90E49"/>
    <w:rsid w:val="00E917F9"/>
    <w:rsid w:val="00E91EB0"/>
    <w:rsid w:val="00E9291C"/>
    <w:rsid w:val="00E93FFE"/>
    <w:rsid w:val="00E94F8A"/>
    <w:rsid w:val="00EA7A41"/>
    <w:rsid w:val="00EA7C47"/>
    <w:rsid w:val="00EB077B"/>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60D0"/>
    <w:rsid w:val="00EF7280"/>
    <w:rsid w:val="00F04FDA"/>
    <w:rsid w:val="00F0528D"/>
    <w:rsid w:val="00F05847"/>
    <w:rsid w:val="00F06C67"/>
    <w:rsid w:val="00F06DFD"/>
    <w:rsid w:val="00F071D1"/>
    <w:rsid w:val="00F073A1"/>
    <w:rsid w:val="00F07533"/>
    <w:rsid w:val="00F10629"/>
    <w:rsid w:val="00F15FA5"/>
    <w:rsid w:val="00F209B7"/>
    <w:rsid w:val="00F228DF"/>
    <w:rsid w:val="00F2376F"/>
    <w:rsid w:val="00F243D8"/>
    <w:rsid w:val="00F30828"/>
    <w:rsid w:val="00F313D6"/>
    <w:rsid w:val="00F40F0C"/>
    <w:rsid w:val="00F43351"/>
    <w:rsid w:val="00F4766C"/>
    <w:rsid w:val="00F5060E"/>
    <w:rsid w:val="00F507D1"/>
    <w:rsid w:val="00F519CE"/>
    <w:rsid w:val="00F51ADA"/>
    <w:rsid w:val="00F54F4C"/>
    <w:rsid w:val="00F60203"/>
    <w:rsid w:val="00F607C5"/>
    <w:rsid w:val="00F60DEA"/>
    <w:rsid w:val="00F6302A"/>
    <w:rsid w:val="00F63950"/>
    <w:rsid w:val="00F64C2B"/>
    <w:rsid w:val="00F6506E"/>
    <w:rsid w:val="00F651BE"/>
    <w:rsid w:val="00F67F53"/>
    <w:rsid w:val="00F703BE"/>
    <w:rsid w:val="00F71F69"/>
    <w:rsid w:val="00F72B72"/>
    <w:rsid w:val="00F735D1"/>
    <w:rsid w:val="00F74607"/>
    <w:rsid w:val="00F74BB9"/>
    <w:rsid w:val="00F75582"/>
    <w:rsid w:val="00F76EFA"/>
    <w:rsid w:val="00F8003E"/>
    <w:rsid w:val="00F804BE"/>
    <w:rsid w:val="00F8097D"/>
    <w:rsid w:val="00F817CE"/>
    <w:rsid w:val="00F8456C"/>
    <w:rsid w:val="00F859D8"/>
    <w:rsid w:val="00F868F5"/>
    <w:rsid w:val="00F9056A"/>
    <w:rsid w:val="00F90F8D"/>
    <w:rsid w:val="00F92782"/>
    <w:rsid w:val="00F93294"/>
    <w:rsid w:val="00F93AA9"/>
    <w:rsid w:val="00F951F7"/>
    <w:rsid w:val="00F96985"/>
    <w:rsid w:val="00F97838"/>
    <w:rsid w:val="00FA2BB3"/>
    <w:rsid w:val="00FA49AF"/>
    <w:rsid w:val="00FA4DA1"/>
    <w:rsid w:val="00FA4F41"/>
    <w:rsid w:val="00FB0840"/>
    <w:rsid w:val="00FB2374"/>
    <w:rsid w:val="00FB324B"/>
    <w:rsid w:val="00FB4C80"/>
    <w:rsid w:val="00FB6A6A"/>
    <w:rsid w:val="00FC4D30"/>
    <w:rsid w:val="00FC7429"/>
    <w:rsid w:val="00FD032F"/>
    <w:rsid w:val="00FD07F6"/>
    <w:rsid w:val="00FD0DEE"/>
    <w:rsid w:val="00FD1EC8"/>
    <w:rsid w:val="00FD21B8"/>
    <w:rsid w:val="00FD47ED"/>
    <w:rsid w:val="00FD74DB"/>
    <w:rsid w:val="00FD7660"/>
    <w:rsid w:val="00FE0655"/>
    <w:rsid w:val="00FE1A60"/>
    <w:rsid w:val="00FE2365"/>
    <w:rsid w:val="00FE37D7"/>
    <w:rsid w:val="00FE3A5F"/>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212EA19-D682-43DC-A038-868B19D3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2f282d3b-eb4a-4b09-b61f-b9593442e286"/>
    <ds:schemaRef ds:uri="http://purl.org/dc/term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sharepoint/v3"/>
    <ds:schemaRef ds:uri="http://schemas.microsoft.com/office/2006/documentManagement/types"/>
    <ds:schemaRef ds:uri="http://schemas.microsoft.com/office/2006/metadata/properties"/>
    <ds:schemaRef ds:uri="9b239327-9e80-40e4-b1b7-4394fed77a33"/>
    <ds:schemaRef ds:uri="http://purl.org/dc/elements/1.1/"/>
  </ds:schemaRefs>
</ds:datastoreItem>
</file>

<file path=customXml/itemProps3.xml><?xml version="1.0" encoding="utf-8"?>
<ds:datastoreItem xmlns:ds="http://schemas.openxmlformats.org/officeDocument/2006/customXml" ds:itemID="{5626DF25-947F-45E7-8BCE-B65A53EA2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2268</Words>
  <Characters>12116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6</cp:revision>
  <cp:lastPrinted>2008-02-01T01:09:00Z</cp:lastPrinted>
  <dcterms:created xsi:type="dcterms:W3CDTF">2021-04-06T16:58:00Z</dcterms:created>
  <dcterms:modified xsi:type="dcterms:W3CDTF">2021-04-06T17:54:00Z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